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96CA" w14:textId="77777777" w:rsidR="001A1CD8" w:rsidRPr="00FC52BC" w:rsidRDefault="001A1CD8" w:rsidP="001A1CD8">
      <w:pPr>
        <w:spacing w:after="0"/>
        <w:rPr>
          <w:rFonts w:cs="Calibri"/>
        </w:rPr>
      </w:pPr>
    </w:p>
    <w:p w14:paraId="47C76B05" w14:textId="554FA9AA" w:rsidR="001A1CD8" w:rsidRPr="00FC52BC" w:rsidRDefault="001A1CD8" w:rsidP="001A1CD8">
      <w:pPr>
        <w:jc w:val="both"/>
        <w:rPr>
          <w:rFonts w:cs="Calibri"/>
        </w:rPr>
      </w:pPr>
      <w:r w:rsidRPr="00FC52BC">
        <w:rPr>
          <w:rFonts w:cs="Calibri"/>
        </w:rPr>
        <w:t xml:space="preserve">Na temelju članka </w:t>
      </w:r>
      <w:r w:rsidRPr="00FC52BC">
        <w:rPr>
          <w:rFonts w:cs="Calibri"/>
          <w:color w:val="000000"/>
        </w:rPr>
        <w:t>18. stavak 1. Zakona o proračunu (“Narodne novine”, broj 144/21)</w:t>
      </w:r>
      <w:r w:rsidRPr="00FC52BC">
        <w:rPr>
          <w:rFonts w:cs="Calibri"/>
        </w:rPr>
        <w:t xml:space="preserve"> i  članka 29. Statuta Općine Tompojevci (</w:t>
      </w:r>
      <w:r w:rsidR="00FC52BC" w:rsidRPr="00FC52BC">
        <w:rPr>
          <w:rFonts w:cs="Calibri"/>
        </w:rPr>
        <w:t>„</w:t>
      </w:r>
      <w:r w:rsidRPr="00FC52BC">
        <w:rPr>
          <w:rFonts w:cs="Calibri"/>
        </w:rPr>
        <w:t>Službeni vjesnik</w:t>
      </w:r>
      <w:r w:rsidR="00FC52BC" w:rsidRPr="00FC52BC">
        <w:rPr>
          <w:rFonts w:cs="Calibri"/>
        </w:rPr>
        <w:t>“</w:t>
      </w:r>
      <w:r w:rsidRPr="00FC52BC">
        <w:rPr>
          <w:rFonts w:cs="Calibri"/>
        </w:rPr>
        <w:t xml:space="preserve"> Vukovarsko-srijemske županije br. 04/21 i 19/22), Općinsko vijeće Općine Tompojevci, na </w:t>
      </w:r>
      <w:r w:rsidR="000E0B45" w:rsidRPr="00FC52BC">
        <w:rPr>
          <w:rFonts w:cs="Calibri"/>
        </w:rPr>
        <w:t>5</w:t>
      </w:r>
      <w:r w:rsidRPr="00FC52BC">
        <w:rPr>
          <w:rFonts w:cs="Calibri"/>
        </w:rPr>
        <w:t xml:space="preserve">. sjednici održanoj </w:t>
      </w:r>
      <w:r w:rsidR="006537BB">
        <w:rPr>
          <w:rFonts w:cs="Calibri"/>
        </w:rPr>
        <w:t>12</w:t>
      </w:r>
      <w:r w:rsidRPr="00FC52BC">
        <w:rPr>
          <w:rFonts w:cs="Calibri"/>
        </w:rPr>
        <w:t>.prosinca 202</w:t>
      </w:r>
      <w:r w:rsidR="000E0B45" w:rsidRPr="00FC52BC">
        <w:rPr>
          <w:rFonts w:cs="Calibri"/>
        </w:rPr>
        <w:t>5</w:t>
      </w:r>
      <w:r w:rsidRPr="00FC52BC">
        <w:rPr>
          <w:rFonts w:cs="Calibri"/>
        </w:rPr>
        <w:t>. godine,  donijelo je:</w:t>
      </w:r>
    </w:p>
    <w:p w14:paraId="6A220477" w14:textId="77777777" w:rsidR="003200EA" w:rsidRPr="00FC52BC" w:rsidRDefault="003200EA" w:rsidP="001A1CD8">
      <w:pPr>
        <w:jc w:val="both"/>
        <w:rPr>
          <w:rFonts w:cs="Calibri"/>
        </w:rPr>
      </w:pPr>
    </w:p>
    <w:p w14:paraId="36BBD05D" w14:textId="77777777" w:rsidR="008D522A" w:rsidRPr="00FC52BC" w:rsidRDefault="008D522A" w:rsidP="00263E2A">
      <w:pPr>
        <w:spacing w:after="0"/>
        <w:jc w:val="center"/>
        <w:rPr>
          <w:rFonts w:cs="Calibri"/>
          <w:b/>
          <w:bCs/>
        </w:rPr>
      </w:pPr>
      <w:r w:rsidRPr="00FC52BC">
        <w:rPr>
          <w:rFonts w:cs="Calibri"/>
          <w:b/>
          <w:bCs/>
        </w:rPr>
        <w:t>ODLUKU</w:t>
      </w:r>
    </w:p>
    <w:p w14:paraId="5E354A7D" w14:textId="1767ACC8" w:rsidR="00224177" w:rsidRPr="00FC52BC" w:rsidRDefault="008D522A" w:rsidP="00263E2A">
      <w:pPr>
        <w:spacing w:after="0"/>
        <w:jc w:val="center"/>
        <w:rPr>
          <w:rFonts w:cs="Calibri"/>
          <w:b/>
          <w:bCs/>
        </w:rPr>
      </w:pPr>
      <w:r w:rsidRPr="00FC52BC">
        <w:rPr>
          <w:rFonts w:cs="Calibri"/>
          <w:b/>
          <w:bCs/>
        </w:rPr>
        <w:t>O IZV</w:t>
      </w:r>
      <w:r w:rsidR="0057483F" w:rsidRPr="00FC52BC">
        <w:rPr>
          <w:rFonts w:cs="Calibri"/>
          <w:b/>
          <w:bCs/>
        </w:rPr>
        <w:t>RŠENJU PRORAČUNA OPĆINE TOMPOJEVCI</w:t>
      </w:r>
      <w:r w:rsidR="00CF21EE" w:rsidRPr="00FC52BC">
        <w:rPr>
          <w:rFonts w:cs="Calibri"/>
          <w:b/>
          <w:bCs/>
        </w:rPr>
        <w:t xml:space="preserve"> ZA 202</w:t>
      </w:r>
      <w:r w:rsidR="000E0B45" w:rsidRPr="00FC52BC">
        <w:rPr>
          <w:rFonts w:cs="Calibri"/>
          <w:b/>
          <w:bCs/>
        </w:rPr>
        <w:t>6</w:t>
      </w:r>
      <w:r w:rsidR="00CF30B3" w:rsidRPr="00FC52BC">
        <w:rPr>
          <w:rFonts w:cs="Calibri"/>
          <w:b/>
          <w:bCs/>
        </w:rPr>
        <w:t xml:space="preserve">. </w:t>
      </w:r>
      <w:r w:rsidRPr="00FC52BC">
        <w:rPr>
          <w:rFonts w:cs="Calibri"/>
          <w:b/>
          <w:bCs/>
        </w:rPr>
        <w:t>GODINU</w:t>
      </w:r>
    </w:p>
    <w:p w14:paraId="3D777AEC" w14:textId="361247E6" w:rsidR="0057483F" w:rsidRPr="00FC52BC" w:rsidRDefault="0057483F" w:rsidP="008D522A">
      <w:pPr>
        <w:jc w:val="center"/>
        <w:rPr>
          <w:rFonts w:cs="Calibri"/>
        </w:rPr>
      </w:pPr>
    </w:p>
    <w:p w14:paraId="28C5C6BF" w14:textId="77777777" w:rsidR="001A1CD8" w:rsidRPr="00FC52BC" w:rsidRDefault="001A1CD8" w:rsidP="001A1CD8">
      <w:pPr>
        <w:autoSpaceDE w:val="0"/>
        <w:autoSpaceDN w:val="0"/>
        <w:adjustRightInd w:val="0"/>
        <w:spacing w:after="0"/>
        <w:jc w:val="center"/>
        <w:rPr>
          <w:rFonts w:cs="Calibri"/>
          <w:color w:val="000000"/>
        </w:rPr>
      </w:pPr>
      <w:r w:rsidRPr="00FC52BC">
        <w:rPr>
          <w:rFonts w:cs="Calibri"/>
          <w:color w:val="000000"/>
        </w:rPr>
        <w:t>Članak 1.</w:t>
      </w:r>
    </w:p>
    <w:p w14:paraId="1C128283" w14:textId="56EE901F" w:rsidR="00216AB6" w:rsidRPr="00FC52BC" w:rsidRDefault="001A1CD8" w:rsidP="000E0B45">
      <w:pPr>
        <w:autoSpaceDE w:val="0"/>
        <w:autoSpaceDN w:val="0"/>
        <w:adjustRightInd w:val="0"/>
        <w:spacing w:after="0"/>
        <w:jc w:val="both"/>
        <w:rPr>
          <w:rFonts w:cs="Calibri"/>
          <w:color w:val="000000"/>
        </w:rPr>
      </w:pPr>
      <w:r w:rsidRPr="00FC52BC">
        <w:rPr>
          <w:rFonts w:cs="Calibri"/>
          <w:color w:val="000000"/>
        </w:rPr>
        <w:t>Ovom</w:t>
      </w:r>
      <w:r w:rsidR="00464DFC" w:rsidRPr="00FC52BC">
        <w:rPr>
          <w:rFonts w:cs="Calibri"/>
          <w:color w:val="000000"/>
        </w:rPr>
        <w:t xml:space="preserve"> se</w:t>
      </w:r>
      <w:r w:rsidRPr="00FC52BC">
        <w:rPr>
          <w:rFonts w:cs="Calibri"/>
          <w:color w:val="000000"/>
        </w:rPr>
        <w:t xml:space="preserve"> Odlukom uređuje struktura prihoda i primitaka te rashoda i izdataka Proračuna Općine Tompojevci za 202</w:t>
      </w:r>
      <w:r w:rsidR="000E0B45" w:rsidRPr="00FC52BC">
        <w:rPr>
          <w:rFonts w:cs="Calibri"/>
          <w:color w:val="000000"/>
        </w:rPr>
        <w:t>6</w:t>
      </w:r>
      <w:r w:rsidRPr="00FC52BC">
        <w:rPr>
          <w:rFonts w:cs="Calibri"/>
          <w:color w:val="000000"/>
        </w:rPr>
        <w:t>. g. (dalje u tekstu: Proračun)</w:t>
      </w:r>
      <w:r w:rsidR="00464DFC" w:rsidRPr="00FC52BC">
        <w:rPr>
          <w:rFonts w:cs="Calibri"/>
          <w:color w:val="000000"/>
        </w:rPr>
        <w:t xml:space="preserve">i  </w:t>
      </w:r>
      <w:r w:rsidRPr="00FC52BC">
        <w:rPr>
          <w:rFonts w:cs="Calibri"/>
          <w:color w:val="000000"/>
        </w:rPr>
        <w:t xml:space="preserve">njegovo izvršavanje, </w:t>
      </w:r>
      <w:r w:rsidRPr="00FC52BC">
        <w:rPr>
          <w:rFonts w:cs="Calibri"/>
          <w:color w:val="231F20"/>
        </w:rPr>
        <w:t xml:space="preserve">opseg zaduživanja i jamstava Općine Tompojevci, </w:t>
      </w:r>
      <w:r w:rsidRPr="00FC52BC">
        <w:rPr>
          <w:rFonts w:cs="Calibri"/>
          <w:color w:val="000000"/>
        </w:rPr>
        <w:t>upravljanje financijskom i nefinancijskom imovinom,</w:t>
      </w:r>
      <w:r w:rsidR="00464DFC" w:rsidRPr="00FC52BC">
        <w:rPr>
          <w:rFonts w:cs="Calibri"/>
          <w:color w:val="000000"/>
        </w:rPr>
        <w:t xml:space="preserve"> pojedine ovlasti općinskog načelnika, kao i </w:t>
      </w:r>
      <w:r w:rsidRPr="00FC52BC">
        <w:rPr>
          <w:rFonts w:cs="Calibri"/>
          <w:color w:val="000000"/>
        </w:rPr>
        <w:t>druga pitanja u izvršavanju Proračuna.</w:t>
      </w:r>
    </w:p>
    <w:p w14:paraId="08F6A2A4" w14:textId="77777777" w:rsidR="000E0B45" w:rsidRPr="00FC52BC" w:rsidRDefault="000E0B45" w:rsidP="000E0B45">
      <w:pPr>
        <w:autoSpaceDE w:val="0"/>
        <w:autoSpaceDN w:val="0"/>
        <w:adjustRightInd w:val="0"/>
        <w:spacing w:after="0"/>
        <w:jc w:val="both"/>
        <w:rPr>
          <w:rFonts w:cs="Calibri"/>
          <w:color w:val="000000"/>
        </w:rPr>
      </w:pPr>
    </w:p>
    <w:p w14:paraId="7DE395D7" w14:textId="77777777" w:rsidR="00FC52BC" w:rsidRDefault="00FC52BC" w:rsidP="00FC52BC">
      <w:pPr>
        <w:spacing w:after="0"/>
        <w:jc w:val="center"/>
        <w:rPr>
          <w:rFonts w:cs="Calibri"/>
        </w:rPr>
      </w:pPr>
    </w:p>
    <w:p w14:paraId="0C856F88" w14:textId="48805256" w:rsidR="00216AB6" w:rsidRPr="00FC52BC" w:rsidRDefault="00216AB6" w:rsidP="00FC52BC">
      <w:pPr>
        <w:spacing w:after="0"/>
        <w:jc w:val="center"/>
        <w:rPr>
          <w:rFonts w:cs="Calibri"/>
        </w:rPr>
      </w:pPr>
      <w:r w:rsidRPr="00FC52BC">
        <w:rPr>
          <w:rFonts w:cs="Calibri"/>
        </w:rPr>
        <w:t>Članak 2.</w:t>
      </w:r>
    </w:p>
    <w:p w14:paraId="76146794" w14:textId="77777777" w:rsidR="00216AB6" w:rsidRPr="00FC52BC" w:rsidRDefault="00216AB6" w:rsidP="00FC52BC">
      <w:pPr>
        <w:spacing w:after="0"/>
        <w:rPr>
          <w:rFonts w:cs="Calibri"/>
        </w:rPr>
      </w:pPr>
      <w:r w:rsidRPr="00FC52BC">
        <w:rPr>
          <w:rFonts w:cs="Calibri"/>
        </w:rPr>
        <w:t xml:space="preserve"> U izvršenju proračuna primjenjuju se odredbe Zakona o proračunu. </w:t>
      </w:r>
    </w:p>
    <w:p w14:paraId="0DF0DC1A" w14:textId="77777777" w:rsidR="000E0B45" w:rsidRPr="00FC52BC" w:rsidRDefault="000E0B45" w:rsidP="006049A6">
      <w:pPr>
        <w:autoSpaceDE w:val="0"/>
        <w:autoSpaceDN w:val="0"/>
        <w:adjustRightInd w:val="0"/>
        <w:spacing w:after="0"/>
        <w:jc w:val="center"/>
        <w:rPr>
          <w:rFonts w:cs="Calibri"/>
          <w:color w:val="000000"/>
        </w:rPr>
      </w:pPr>
    </w:p>
    <w:p w14:paraId="4B48F232" w14:textId="77777777" w:rsidR="00FC52BC" w:rsidRDefault="00FC52BC" w:rsidP="006049A6">
      <w:pPr>
        <w:autoSpaceDE w:val="0"/>
        <w:autoSpaceDN w:val="0"/>
        <w:adjustRightInd w:val="0"/>
        <w:spacing w:after="0"/>
        <w:jc w:val="center"/>
        <w:rPr>
          <w:rFonts w:cs="Calibri"/>
          <w:color w:val="000000"/>
        </w:rPr>
      </w:pPr>
    </w:p>
    <w:p w14:paraId="64AECE2B" w14:textId="5E179F59" w:rsidR="006049A6" w:rsidRPr="00FC52BC" w:rsidRDefault="006049A6" w:rsidP="006049A6">
      <w:pPr>
        <w:autoSpaceDE w:val="0"/>
        <w:autoSpaceDN w:val="0"/>
        <w:adjustRightInd w:val="0"/>
        <w:spacing w:after="0"/>
        <w:jc w:val="center"/>
        <w:rPr>
          <w:rFonts w:cs="Calibri"/>
          <w:color w:val="000000"/>
        </w:rPr>
      </w:pPr>
      <w:r w:rsidRPr="00FC52BC">
        <w:rPr>
          <w:rFonts w:cs="Calibri"/>
          <w:color w:val="000000"/>
        </w:rPr>
        <w:t xml:space="preserve">Članak </w:t>
      </w:r>
      <w:r w:rsidR="000E0B45" w:rsidRPr="00FC52BC">
        <w:rPr>
          <w:rFonts w:cs="Calibri"/>
          <w:color w:val="000000"/>
        </w:rPr>
        <w:t>3</w:t>
      </w:r>
      <w:r w:rsidRPr="00FC52BC">
        <w:rPr>
          <w:rFonts w:cs="Calibri"/>
          <w:color w:val="000000"/>
        </w:rPr>
        <w:t>.</w:t>
      </w:r>
    </w:p>
    <w:p w14:paraId="0F55DE2A" w14:textId="77777777" w:rsidR="007A34B1" w:rsidRPr="00FC52BC" w:rsidRDefault="007A34B1" w:rsidP="007A34B1">
      <w:pPr>
        <w:pStyle w:val="StandardWeb"/>
        <w:spacing w:before="0" w:after="0"/>
        <w:jc w:val="both"/>
        <w:rPr>
          <w:rFonts w:ascii="Calibri" w:hAnsi="Calibri" w:cs="Calibri"/>
          <w:sz w:val="22"/>
          <w:szCs w:val="22"/>
        </w:rPr>
      </w:pPr>
      <w:r w:rsidRPr="00FC52BC">
        <w:rPr>
          <w:rFonts w:ascii="Calibri" w:hAnsi="Calibri" w:cs="Calibri"/>
          <w:sz w:val="22"/>
          <w:szCs w:val="22"/>
        </w:rPr>
        <w:t xml:space="preserve">Proračun se sastoji od općeg i posebnog dijela, te obrazloženja. </w:t>
      </w:r>
    </w:p>
    <w:p w14:paraId="562B0B3A" w14:textId="77777777" w:rsidR="007A34B1" w:rsidRPr="007A34B1" w:rsidRDefault="007A34B1" w:rsidP="007A34B1">
      <w:pPr>
        <w:pStyle w:val="StandardWeb"/>
        <w:spacing w:after="0"/>
        <w:jc w:val="both"/>
        <w:rPr>
          <w:rFonts w:ascii="Calibri" w:hAnsi="Calibri" w:cs="Calibri"/>
          <w:sz w:val="22"/>
          <w:szCs w:val="22"/>
        </w:rPr>
      </w:pPr>
      <w:r w:rsidRPr="007A34B1">
        <w:rPr>
          <w:rFonts w:ascii="Calibri" w:hAnsi="Calibri" w:cs="Calibri"/>
          <w:sz w:val="22"/>
          <w:szCs w:val="22"/>
        </w:rPr>
        <w:t>Opći dio proračuna sadrži:</w:t>
      </w:r>
    </w:p>
    <w:p w14:paraId="4C5A9AEB" w14:textId="5A20C9A0" w:rsidR="007A34B1" w:rsidRPr="007A34B1" w:rsidRDefault="007A34B1" w:rsidP="00FC52BC">
      <w:pPr>
        <w:pStyle w:val="StandardWeb"/>
        <w:numPr>
          <w:ilvl w:val="0"/>
          <w:numId w:val="1"/>
        </w:numPr>
        <w:spacing w:before="0" w:after="0"/>
        <w:jc w:val="both"/>
        <w:rPr>
          <w:rFonts w:ascii="Calibri" w:hAnsi="Calibri" w:cs="Calibri"/>
          <w:sz w:val="22"/>
          <w:szCs w:val="22"/>
        </w:rPr>
      </w:pPr>
      <w:r w:rsidRPr="007A34B1">
        <w:rPr>
          <w:rFonts w:ascii="Calibri" w:hAnsi="Calibri" w:cs="Calibri"/>
          <w:sz w:val="22"/>
          <w:szCs w:val="22"/>
        </w:rPr>
        <w:t>sažetak Računa prihoda i rashoda i Računa financiranja</w:t>
      </w:r>
    </w:p>
    <w:p w14:paraId="4AF603F6" w14:textId="07A6159D" w:rsidR="007A34B1" w:rsidRPr="007A34B1" w:rsidRDefault="007A34B1" w:rsidP="00FC52BC">
      <w:pPr>
        <w:pStyle w:val="StandardWeb"/>
        <w:numPr>
          <w:ilvl w:val="0"/>
          <w:numId w:val="1"/>
        </w:numPr>
        <w:spacing w:before="0" w:after="0"/>
        <w:jc w:val="both"/>
        <w:rPr>
          <w:rFonts w:ascii="Calibri" w:hAnsi="Calibri" w:cs="Calibri"/>
          <w:sz w:val="22"/>
          <w:szCs w:val="22"/>
        </w:rPr>
      </w:pPr>
      <w:r w:rsidRPr="007A34B1">
        <w:rPr>
          <w:rFonts w:ascii="Calibri" w:hAnsi="Calibri" w:cs="Calibri"/>
          <w:sz w:val="22"/>
          <w:szCs w:val="22"/>
        </w:rPr>
        <w:t>Račun prihoda i rashoda i Račun financiranja.</w:t>
      </w:r>
    </w:p>
    <w:p w14:paraId="5B02BEFF" w14:textId="19161030" w:rsidR="007A34B1" w:rsidRPr="007A34B1" w:rsidRDefault="007A34B1" w:rsidP="007A34B1">
      <w:pPr>
        <w:pStyle w:val="StandardWeb"/>
        <w:spacing w:after="0"/>
        <w:jc w:val="both"/>
        <w:rPr>
          <w:rFonts w:ascii="Calibri" w:hAnsi="Calibri" w:cs="Calibri"/>
          <w:sz w:val="22"/>
          <w:szCs w:val="22"/>
        </w:rPr>
      </w:pPr>
      <w:r w:rsidRPr="007A34B1">
        <w:rPr>
          <w:rFonts w:ascii="Calibri" w:hAnsi="Calibri" w:cs="Calibri"/>
          <w:sz w:val="22"/>
          <w:szCs w:val="22"/>
        </w:rPr>
        <w:t>Račun prihoda i rashoda proračuna sastoji se od prihoda i rashoda iskazanih prema izvorima financiranja i ekonomskoj klasifikaciji te rashoda iskazanih prema funkcijskoj klasifikaciji.</w:t>
      </w:r>
    </w:p>
    <w:p w14:paraId="1366132F" w14:textId="2B86C77B" w:rsidR="007A34B1" w:rsidRPr="007A34B1" w:rsidRDefault="007A34B1" w:rsidP="007A34B1">
      <w:pPr>
        <w:pStyle w:val="StandardWeb"/>
        <w:spacing w:after="0"/>
        <w:jc w:val="both"/>
        <w:rPr>
          <w:rFonts w:ascii="Calibri" w:hAnsi="Calibri" w:cs="Calibri"/>
          <w:sz w:val="22"/>
          <w:szCs w:val="22"/>
        </w:rPr>
      </w:pPr>
      <w:r w:rsidRPr="007A34B1">
        <w:rPr>
          <w:rFonts w:ascii="Calibri" w:hAnsi="Calibri" w:cs="Calibri"/>
          <w:sz w:val="22"/>
          <w:szCs w:val="22"/>
        </w:rPr>
        <w:t>U Računu financiranja iskazuju se primici od financijske imovine i zaduživanja te izdaci za financijsku imovinu i otplate instrumenata zaduživanja prema izvorima financiranja i ekonomskoj klasifikaciji.</w:t>
      </w:r>
    </w:p>
    <w:p w14:paraId="40E58D9C" w14:textId="77777777" w:rsidR="007A34B1" w:rsidRPr="00FC52BC" w:rsidRDefault="007A34B1" w:rsidP="007A34B1">
      <w:pPr>
        <w:pStyle w:val="StandardWeb"/>
        <w:spacing w:before="0" w:after="0"/>
        <w:jc w:val="both"/>
        <w:rPr>
          <w:rFonts w:ascii="Calibri" w:hAnsi="Calibri" w:cs="Calibri"/>
          <w:sz w:val="22"/>
          <w:szCs w:val="22"/>
        </w:rPr>
      </w:pPr>
    </w:p>
    <w:p w14:paraId="3974FA5C" w14:textId="3EAE8FB1" w:rsidR="007A34B1" w:rsidRPr="00FC52BC" w:rsidRDefault="007A34B1" w:rsidP="007A34B1">
      <w:pPr>
        <w:pStyle w:val="StandardWeb"/>
        <w:spacing w:before="0" w:after="0"/>
        <w:jc w:val="both"/>
        <w:rPr>
          <w:rFonts w:ascii="Calibri" w:hAnsi="Calibri" w:cs="Calibri"/>
          <w:sz w:val="22"/>
          <w:szCs w:val="22"/>
        </w:rPr>
      </w:pPr>
      <w:r w:rsidRPr="00FC52BC">
        <w:rPr>
          <w:rFonts w:ascii="Calibri" w:hAnsi="Calibri" w:cs="Calibri"/>
          <w:sz w:val="22"/>
          <w:szCs w:val="22"/>
        </w:rPr>
        <w:t>Posebni dio proračuna sastoji se od plana rashoda i izdataka iskazanih po organizacijskoj klasifikaciji, izvorima financiranja i ekonomskoj klasifikaciji, raspoređenih u programe koji se sastoje od aktivnosti i projekata.</w:t>
      </w:r>
    </w:p>
    <w:p w14:paraId="12B4B172" w14:textId="77777777" w:rsidR="007A34B1" w:rsidRPr="00FC52BC" w:rsidRDefault="007A34B1" w:rsidP="007A34B1">
      <w:pPr>
        <w:pStyle w:val="StandardWeb"/>
        <w:spacing w:before="0" w:after="0"/>
        <w:jc w:val="both"/>
        <w:rPr>
          <w:rFonts w:ascii="Calibri" w:hAnsi="Calibri" w:cs="Calibri"/>
          <w:sz w:val="22"/>
          <w:szCs w:val="22"/>
        </w:rPr>
      </w:pPr>
    </w:p>
    <w:p w14:paraId="08A7257D" w14:textId="56EE8FF8" w:rsidR="007A34B1" w:rsidRPr="00FC52BC" w:rsidRDefault="007A34B1" w:rsidP="00FC52BC">
      <w:pPr>
        <w:pStyle w:val="StandardWeb"/>
        <w:spacing w:before="0" w:after="0"/>
        <w:jc w:val="both"/>
        <w:rPr>
          <w:rFonts w:ascii="Calibri" w:hAnsi="Calibri" w:cs="Calibri"/>
          <w:sz w:val="22"/>
          <w:szCs w:val="22"/>
        </w:rPr>
      </w:pPr>
      <w:r w:rsidRPr="00FC52BC">
        <w:rPr>
          <w:rFonts w:ascii="Calibri" w:hAnsi="Calibri" w:cs="Calibri"/>
          <w:sz w:val="22"/>
          <w:szCs w:val="22"/>
        </w:rPr>
        <w:t>Obrazloženje proračuna sastoji se od obrazloženja općeg dijela proračuna i obrazloženja posebnog dijela proračuna.</w:t>
      </w:r>
    </w:p>
    <w:p w14:paraId="5A12A52E" w14:textId="77777777" w:rsidR="0057483F" w:rsidRPr="00FC52BC" w:rsidRDefault="0057483F" w:rsidP="000E0B45">
      <w:pPr>
        <w:autoSpaceDE w:val="0"/>
        <w:autoSpaceDN w:val="0"/>
        <w:adjustRightInd w:val="0"/>
        <w:spacing w:after="0"/>
        <w:rPr>
          <w:rFonts w:cs="Calibri"/>
          <w:color w:val="000000"/>
        </w:rPr>
      </w:pPr>
    </w:p>
    <w:p w14:paraId="1857B506" w14:textId="7BEA58B2" w:rsidR="0057483F" w:rsidRPr="00FC52BC" w:rsidRDefault="008D522A" w:rsidP="0057483F">
      <w:pPr>
        <w:autoSpaceDE w:val="0"/>
        <w:autoSpaceDN w:val="0"/>
        <w:adjustRightInd w:val="0"/>
        <w:spacing w:after="0"/>
        <w:jc w:val="center"/>
        <w:rPr>
          <w:rFonts w:cs="Calibri"/>
          <w:color w:val="000000"/>
        </w:rPr>
      </w:pPr>
      <w:r w:rsidRPr="00FC52BC">
        <w:rPr>
          <w:rFonts w:cs="Calibri"/>
          <w:color w:val="000000"/>
        </w:rPr>
        <w:t xml:space="preserve">Članak </w:t>
      </w:r>
      <w:r w:rsidR="000E0B45" w:rsidRPr="00FC52BC">
        <w:rPr>
          <w:rFonts w:cs="Calibri"/>
          <w:color w:val="000000"/>
        </w:rPr>
        <w:t>4</w:t>
      </w:r>
      <w:r w:rsidRPr="00FC52BC">
        <w:rPr>
          <w:rFonts w:cs="Calibri"/>
          <w:color w:val="000000"/>
        </w:rPr>
        <w:t>.</w:t>
      </w:r>
    </w:p>
    <w:p w14:paraId="60D054EF" w14:textId="77777777" w:rsidR="00C30895" w:rsidRPr="00FC52BC" w:rsidRDefault="00C30895" w:rsidP="00C30895">
      <w:pPr>
        <w:autoSpaceDE w:val="0"/>
        <w:autoSpaceDN w:val="0"/>
        <w:adjustRightInd w:val="0"/>
        <w:spacing w:after="0"/>
        <w:jc w:val="both"/>
        <w:rPr>
          <w:rFonts w:cs="Calibri"/>
        </w:rPr>
      </w:pPr>
      <w:r w:rsidRPr="00FC52BC">
        <w:rPr>
          <w:rFonts w:cs="Calibri"/>
        </w:rPr>
        <w:t xml:space="preserve">Prihodi Proračuna ubiru se i uplaćuju u Proračun u skladu sa zakonom ili drugim propisima neovisno o visini prihoda planiranih u Proračunu. </w:t>
      </w:r>
    </w:p>
    <w:p w14:paraId="3785894E" w14:textId="77777777" w:rsidR="00C30895" w:rsidRPr="00FC52BC" w:rsidRDefault="00C30895" w:rsidP="00C30895">
      <w:pPr>
        <w:autoSpaceDE w:val="0"/>
        <w:autoSpaceDN w:val="0"/>
        <w:adjustRightInd w:val="0"/>
        <w:spacing w:after="0"/>
        <w:jc w:val="both"/>
        <w:rPr>
          <w:rFonts w:cs="Calibri"/>
        </w:rPr>
      </w:pPr>
    </w:p>
    <w:p w14:paraId="5C8FAD99" w14:textId="47E0C53A" w:rsidR="0057483F" w:rsidRPr="00FC52BC" w:rsidRDefault="00C30895" w:rsidP="00C30895">
      <w:pPr>
        <w:autoSpaceDE w:val="0"/>
        <w:autoSpaceDN w:val="0"/>
        <w:adjustRightInd w:val="0"/>
        <w:spacing w:after="0"/>
        <w:jc w:val="both"/>
        <w:rPr>
          <w:rFonts w:cs="Calibri"/>
        </w:rPr>
      </w:pPr>
      <w:r w:rsidRPr="00FC52BC">
        <w:rPr>
          <w:rFonts w:cs="Calibri"/>
        </w:rPr>
        <w:t>Općinski načelnik odgovoran je za naplatu prihoda i primitaka i za njihovu uplatu u Proračun i za izvršavanje svih rashoda i izdataka u skladu s namjenama</w:t>
      </w:r>
      <w:r w:rsidR="00464DFC" w:rsidRPr="00FC52BC">
        <w:rPr>
          <w:rFonts w:cs="Calibri"/>
        </w:rPr>
        <w:t>.</w:t>
      </w:r>
    </w:p>
    <w:p w14:paraId="32D59889" w14:textId="77777777" w:rsidR="00C30895" w:rsidRPr="00FC52BC" w:rsidRDefault="00C30895" w:rsidP="00C30895">
      <w:pPr>
        <w:autoSpaceDE w:val="0"/>
        <w:autoSpaceDN w:val="0"/>
        <w:adjustRightInd w:val="0"/>
        <w:spacing w:after="0"/>
        <w:jc w:val="both"/>
        <w:rPr>
          <w:rFonts w:cs="Calibri"/>
          <w:color w:val="000000"/>
        </w:rPr>
      </w:pPr>
    </w:p>
    <w:p w14:paraId="0B855452" w14:textId="14FB134C" w:rsidR="000E0B45" w:rsidRPr="00FC52BC" w:rsidRDefault="00C30895" w:rsidP="00464DFC">
      <w:pPr>
        <w:autoSpaceDE w:val="0"/>
        <w:autoSpaceDN w:val="0"/>
        <w:adjustRightInd w:val="0"/>
        <w:spacing w:after="0"/>
        <w:jc w:val="both"/>
        <w:rPr>
          <w:rFonts w:cs="Calibri"/>
          <w:color w:val="000000"/>
        </w:rPr>
      </w:pPr>
      <w:r w:rsidRPr="00FC52BC">
        <w:rPr>
          <w:rFonts w:cs="Calibri"/>
          <w:color w:val="000000"/>
        </w:rPr>
        <w:t>Pogrešno ili više uplaćeni prihodi u Proračun, vraćaju se uplatiteljima na teret tih prihoda, a temeljem zahtjeva uplatitelja i dokaza o pogrešno ili više uplaćenom prihodu.</w:t>
      </w:r>
    </w:p>
    <w:p w14:paraId="693E5964" w14:textId="77777777" w:rsidR="00C30895" w:rsidRPr="00FC52BC" w:rsidRDefault="00C30895" w:rsidP="008D522A">
      <w:pPr>
        <w:autoSpaceDE w:val="0"/>
        <w:autoSpaceDN w:val="0"/>
        <w:adjustRightInd w:val="0"/>
        <w:spacing w:after="0"/>
        <w:jc w:val="center"/>
        <w:rPr>
          <w:rFonts w:cs="Calibri"/>
          <w:color w:val="000000"/>
        </w:rPr>
      </w:pPr>
    </w:p>
    <w:p w14:paraId="48152E38" w14:textId="77777777" w:rsidR="00FC52BC" w:rsidRDefault="00FC52BC" w:rsidP="009F4B6B">
      <w:pPr>
        <w:autoSpaceDE w:val="0"/>
        <w:autoSpaceDN w:val="0"/>
        <w:adjustRightInd w:val="0"/>
        <w:spacing w:after="0"/>
        <w:rPr>
          <w:rFonts w:cs="Calibri"/>
          <w:color w:val="000000"/>
        </w:rPr>
      </w:pPr>
    </w:p>
    <w:p w14:paraId="0F03B04F" w14:textId="75292FA1" w:rsidR="008D522A" w:rsidRPr="00FC52BC" w:rsidRDefault="008D522A" w:rsidP="008D522A">
      <w:pPr>
        <w:autoSpaceDE w:val="0"/>
        <w:autoSpaceDN w:val="0"/>
        <w:adjustRightInd w:val="0"/>
        <w:spacing w:after="0"/>
        <w:jc w:val="center"/>
        <w:rPr>
          <w:rFonts w:cs="Calibri"/>
          <w:color w:val="000000"/>
        </w:rPr>
      </w:pPr>
      <w:r w:rsidRPr="00FC52BC">
        <w:rPr>
          <w:rFonts w:cs="Calibri"/>
          <w:color w:val="000000"/>
        </w:rPr>
        <w:t xml:space="preserve">Članak </w:t>
      </w:r>
      <w:r w:rsidR="000E0B45" w:rsidRPr="00FC52BC">
        <w:rPr>
          <w:rFonts w:cs="Calibri"/>
          <w:color w:val="000000"/>
        </w:rPr>
        <w:t>5</w:t>
      </w:r>
      <w:r w:rsidRPr="00FC52BC">
        <w:rPr>
          <w:rFonts w:cs="Calibri"/>
          <w:color w:val="000000"/>
        </w:rPr>
        <w:t>.</w:t>
      </w:r>
    </w:p>
    <w:p w14:paraId="53FB56F5" w14:textId="77777777" w:rsidR="00B75E3C" w:rsidRPr="00FC52BC" w:rsidRDefault="00712C06" w:rsidP="006D4DC0">
      <w:pPr>
        <w:jc w:val="both"/>
        <w:rPr>
          <w:rFonts w:cs="Calibri"/>
        </w:rPr>
      </w:pPr>
      <w:r w:rsidRPr="00FC52BC">
        <w:rPr>
          <w:rFonts w:cs="Calibri"/>
        </w:rPr>
        <w:t xml:space="preserve">Svaki rashod i izdatak iz proračuna mora se temeljiti na vjerodostojnoj knjigovodstvenoj ispravi kojom se dokazuje obveza plaćanja. </w:t>
      </w:r>
    </w:p>
    <w:p w14:paraId="666EC8F8" w14:textId="3253CD65" w:rsidR="00C30895" w:rsidRPr="00FC52BC" w:rsidRDefault="00712C06" w:rsidP="006D4DC0">
      <w:pPr>
        <w:jc w:val="both"/>
        <w:rPr>
          <w:rFonts w:cs="Calibri"/>
        </w:rPr>
      </w:pPr>
      <w:r w:rsidRPr="00FC52BC">
        <w:rPr>
          <w:rFonts w:cs="Calibri"/>
        </w:rPr>
        <w:t xml:space="preserve">Rashodi i izdaci realiziraju se do iznosa planiranih proračunom, osim izdataka za otplatu glavnice i kamatu, koji se mogu izvršavati u iznosima iznad planiranih. Primljena, a manje planirana ili neplanirana sredstva od pomoći, donacije i prihoda za posebne namjene mogu se trošiti iznad iznosa planiranih proračunom, do visine primljenih sredstava. </w:t>
      </w:r>
    </w:p>
    <w:p w14:paraId="6C00EE7D" w14:textId="77777777" w:rsidR="003616EE" w:rsidRPr="00FC52BC" w:rsidRDefault="003616EE" w:rsidP="008D522A">
      <w:pPr>
        <w:autoSpaceDE w:val="0"/>
        <w:autoSpaceDN w:val="0"/>
        <w:adjustRightInd w:val="0"/>
        <w:spacing w:after="0"/>
        <w:jc w:val="center"/>
        <w:rPr>
          <w:rFonts w:cs="Calibri"/>
          <w:color w:val="000000"/>
        </w:rPr>
      </w:pPr>
    </w:p>
    <w:p w14:paraId="6A39BE7B" w14:textId="11481250" w:rsidR="00E1259F" w:rsidRPr="00FC52BC" w:rsidRDefault="008D522A" w:rsidP="00FC52BC">
      <w:pPr>
        <w:autoSpaceDE w:val="0"/>
        <w:autoSpaceDN w:val="0"/>
        <w:adjustRightInd w:val="0"/>
        <w:spacing w:after="0"/>
        <w:jc w:val="center"/>
        <w:rPr>
          <w:rFonts w:cs="Calibri"/>
          <w:color w:val="000000"/>
        </w:rPr>
      </w:pPr>
      <w:r w:rsidRPr="00FC52BC">
        <w:rPr>
          <w:rFonts w:cs="Calibri"/>
          <w:color w:val="000000"/>
        </w:rPr>
        <w:t xml:space="preserve">Članak </w:t>
      </w:r>
      <w:r w:rsidR="000E0B45" w:rsidRPr="00FC52BC">
        <w:rPr>
          <w:rFonts w:cs="Calibri"/>
          <w:color w:val="000000"/>
        </w:rPr>
        <w:t>6</w:t>
      </w:r>
      <w:r w:rsidRPr="00FC52BC">
        <w:rPr>
          <w:rFonts w:cs="Calibri"/>
          <w:color w:val="000000"/>
        </w:rPr>
        <w:t>.</w:t>
      </w:r>
    </w:p>
    <w:p w14:paraId="444D5ABC" w14:textId="5FE5ED93" w:rsidR="00E1259F" w:rsidRPr="00FC52BC" w:rsidRDefault="00E1259F" w:rsidP="00FC52BC">
      <w:pPr>
        <w:pStyle w:val="Tijeloteksta"/>
        <w:spacing w:after="0"/>
        <w:jc w:val="both"/>
        <w:rPr>
          <w:rFonts w:cs="Calibri"/>
        </w:rPr>
      </w:pPr>
      <w:r w:rsidRPr="00FC52BC">
        <w:rPr>
          <w:rFonts w:cs="Calibri"/>
        </w:rPr>
        <w:t>Općinski načelnik odobrava preraspodjelu sredstava na proračunskim stavkama najviše do 5% rashoda i izdataka na stavci koja se umanjuje.</w:t>
      </w:r>
    </w:p>
    <w:p w14:paraId="730E93C6" w14:textId="77777777" w:rsidR="00FC52BC" w:rsidRDefault="00FC52BC" w:rsidP="00E1259F">
      <w:pPr>
        <w:autoSpaceDE w:val="0"/>
        <w:autoSpaceDN w:val="0"/>
        <w:adjustRightInd w:val="0"/>
        <w:spacing w:after="0"/>
        <w:jc w:val="both"/>
        <w:rPr>
          <w:rFonts w:cs="Calibri"/>
        </w:rPr>
      </w:pPr>
    </w:p>
    <w:p w14:paraId="27894F29" w14:textId="69295E2B" w:rsidR="00E1259F" w:rsidRPr="00FC52BC" w:rsidRDefault="00E1259F" w:rsidP="00E1259F">
      <w:pPr>
        <w:autoSpaceDE w:val="0"/>
        <w:autoSpaceDN w:val="0"/>
        <w:adjustRightInd w:val="0"/>
        <w:spacing w:after="0"/>
        <w:jc w:val="both"/>
        <w:rPr>
          <w:rFonts w:cs="Calibri"/>
        </w:rPr>
      </w:pPr>
      <w:r w:rsidRPr="00FC52BC">
        <w:rPr>
          <w:rFonts w:cs="Calibri"/>
        </w:rPr>
        <w:t>Općinski načelnik će o izvršenoj preraspodjeli izvještavati Općinsko vijeće u sklopu redovnog izvještavanja.</w:t>
      </w:r>
    </w:p>
    <w:p w14:paraId="610FBBFE" w14:textId="77777777" w:rsidR="00E1259F" w:rsidRPr="00FC52BC" w:rsidRDefault="00E1259F" w:rsidP="00E1259F">
      <w:pPr>
        <w:autoSpaceDE w:val="0"/>
        <w:autoSpaceDN w:val="0"/>
        <w:adjustRightInd w:val="0"/>
        <w:spacing w:after="0"/>
        <w:jc w:val="both"/>
        <w:rPr>
          <w:rFonts w:cs="Calibri"/>
        </w:rPr>
      </w:pPr>
    </w:p>
    <w:p w14:paraId="7B1F31A9" w14:textId="615E8831" w:rsidR="00C30895" w:rsidRPr="00FC52BC" w:rsidRDefault="00E1259F" w:rsidP="00E1259F">
      <w:pPr>
        <w:pStyle w:val="Tijeloteksta"/>
        <w:jc w:val="both"/>
        <w:rPr>
          <w:rFonts w:cs="Calibri"/>
        </w:rPr>
      </w:pPr>
      <w:r w:rsidRPr="00FC52BC">
        <w:rPr>
          <w:rFonts w:cs="Calibri"/>
        </w:rPr>
        <w:t>Ako tijekom godine dođe do znatnije neusklađenosti ostvarivanja planiranih prihoda/primitaka i rashoda/ izdataka Proračuna, predložit će se Općinskom vijeću  donošenje  izmjena i dopuna Proračuna.</w:t>
      </w:r>
    </w:p>
    <w:p w14:paraId="17B8FD3C" w14:textId="77777777" w:rsidR="0057483F" w:rsidRPr="00FC52BC" w:rsidRDefault="0057483F" w:rsidP="008D522A">
      <w:pPr>
        <w:autoSpaceDE w:val="0"/>
        <w:autoSpaceDN w:val="0"/>
        <w:adjustRightInd w:val="0"/>
        <w:spacing w:after="0"/>
        <w:jc w:val="center"/>
        <w:rPr>
          <w:rFonts w:cs="Calibri"/>
          <w:color w:val="000000"/>
        </w:rPr>
      </w:pPr>
    </w:p>
    <w:p w14:paraId="2ED7AE94" w14:textId="1FD5408B" w:rsidR="00143AB2" w:rsidRPr="00FC52BC" w:rsidRDefault="008D522A" w:rsidP="00EB048B">
      <w:pPr>
        <w:autoSpaceDE w:val="0"/>
        <w:autoSpaceDN w:val="0"/>
        <w:adjustRightInd w:val="0"/>
        <w:spacing w:after="0"/>
        <w:jc w:val="center"/>
        <w:rPr>
          <w:rFonts w:cs="Calibri"/>
          <w:color w:val="000000"/>
        </w:rPr>
      </w:pPr>
      <w:r w:rsidRPr="00FC52BC">
        <w:rPr>
          <w:rFonts w:cs="Calibri"/>
          <w:color w:val="000000"/>
        </w:rPr>
        <w:t xml:space="preserve">Članak </w:t>
      </w:r>
      <w:r w:rsidR="004B048F" w:rsidRPr="00FC52BC">
        <w:rPr>
          <w:rFonts w:cs="Calibri"/>
          <w:color w:val="000000"/>
        </w:rPr>
        <w:t>7</w:t>
      </w:r>
      <w:r w:rsidRPr="00FC52BC">
        <w:rPr>
          <w:rFonts w:cs="Calibri"/>
          <w:color w:val="000000"/>
        </w:rPr>
        <w:t>.</w:t>
      </w:r>
    </w:p>
    <w:p w14:paraId="228CC42C" w14:textId="1E1C82E5" w:rsidR="00583A86" w:rsidRPr="00FC52BC" w:rsidRDefault="00583A86" w:rsidP="00143AB2">
      <w:pPr>
        <w:autoSpaceDE w:val="0"/>
        <w:autoSpaceDN w:val="0"/>
        <w:adjustRightInd w:val="0"/>
        <w:spacing w:after="0"/>
        <w:jc w:val="both"/>
        <w:rPr>
          <w:rFonts w:cs="Calibri"/>
        </w:rPr>
      </w:pPr>
      <w:r w:rsidRPr="00FC52BC">
        <w:rPr>
          <w:rFonts w:cs="Calibri"/>
        </w:rPr>
        <w:t>U proračunu se utvrđuju sredstva za nepredviđene rashode – Proračunska zaliha.</w:t>
      </w:r>
    </w:p>
    <w:p w14:paraId="158FB9F7" w14:textId="77777777" w:rsidR="00583A86" w:rsidRPr="00FC52BC" w:rsidRDefault="00583A86" w:rsidP="00143AB2">
      <w:pPr>
        <w:autoSpaceDE w:val="0"/>
        <w:autoSpaceDN w:val="0"/>
        <w:adjustRightInd w:val="0"/>
        <w:spacing w:after="0"/>
        <w:jc w:val="both"/>
        <w:rPr>
          <w:rFonts w:cs="Calibri"/>
          <w:color w:val="000000"/>
        </w:rPr>
      </w:pPr>
    </w:p>
    <w:p w14:paraId="4BD98407" w14:textId="1F0AEA9B" w:rsidR="00ED4A15" w:rsidRPr="00FC52BC" w:rsidRDefault="00ED4A15" w:rsidP="00143AB2">
      <w:pPr>
        <w:autoSpaceDE w:val="0"/>
        <w:autoSpaceDN w:val="0"/>
        <w:adjustRightInd w:val="0"/>
        <w:spacing w:after="0"/>
        <w:jc w:val="both"/>
        <w:rPr>
          <w:rFonts w:cs="Calibri"/>
          <w:color w:val="000000"/>
        </w:rPr>
      </w:pPr>
      <w:r w:rsidRPr="00FC52BC">
        <w:rPr>
          <w:rFonts w:cs="Calibri"/>
          <w:color w:val="000000"/>
        </w:rPr>
        <w:t xml:space="preserve">Sredstva proračunske zalihe za 2026.godinu utvrđuju se u iznosu od 725,03 eura, a koristit će se </w:t>
      </w:r>
      <w:r w:rsidR="00331429" w:rsidRPr="00FC52BC">
        <w:rPr>
          <w:rFonts w:cs="Calibri"/>
          <w:color w:val="000000"/>
        </w:rPr>
        <w:t>za financiranje rashoda nastalih pri otklanjanju posljedica elementarnih nepogoda, epidemija, ekoloških i ostalih nepredvidivih nesreća odnosno izvanrednih događaja tijekom godine.</w:t>
      </w:r>
    </w:p>
    <w:p w14:paraId="40296B2A" w14:textId="77777777" w:rsidR="00331429" w:rsidRPr="00FC52BC" w:rsidRDefault="00331429" w:rsidP="00143AB2">
      <w:pPr>
        <w:autoSpaceDE w:val="0"/>
        <w:autoSpaceDN w:val="0"/>
        <w:adjustRightInd w:val="0"/>
        <w:spacing w:after="0"/>
        <w:jc w:val="both"/>
        <w:rPr>
          <w:rFonts w:cs="Calibri"/>
          <w:color w:val="000000"/>
        </w:rPr>
      </w:pPr>
    </w:p>
    <w:p w14:paraId="1FEA6EE1" w14:textId="579D1487" w:rsidR="00ED4A15" w:rsidRPr="00FC52BC" w:rsidRDefault="00ED4A15" w:rsidP="00815B67">
      <w:pPr>
        <w:autoSpaceDE w:val="0"/>
        <w:autoSpaceDN w:val="0"/>
        <w:adjustRightInd w:val="0"/>
        <w:spacing w:after="0"/>
        <w:jc w:val="both"/>
        <w:rPr>
          <w:rFonts w:cs="Calibri"/>
          <w:color w:val="000000"/>
        </w:rPr>
      </w:pPr>
      <w:r w:rsidRPr="00FC52BC">
        <w:rPr>
          <w:rFonts w:cs="Calibri"/>
          <w:color w:val="000000"/>
        </w:rPr>
        <w:t xml:space="preserve">O korištenju sredstava proračunske zalihe odlučuje općinski načelnik. Sredstva proračunske zalihe ne mogu se koristiti za pozajmljivanje. </w:t>
      </w:r>
    </w:p>
    <w:p w14:paraId="1508B669" w14:textId="77777777" w:rsidR="00ED4A15" w:rsidRPr="00FC52BC" w:rsidRDefault="00ED4A15" w:rsidP="00143AB2">
      <w:pPr>
        <w:autoSpaceDE w:val="0"/>
        <w:autoSpaceDN w:val="0"/>
        <w:adjustRightInd w:val="0"/>
        <w:spacing w:after="0"/>
        <w:jc w:val="both"/>
        <w:rPr>
          <w:rFonts w:cs="Calibri"/>
          <w:color w:val="000000"/>
        </w:rPr>
      </w:pPr>
    </w:p>
    <w:p w14:paraId="02A8163B" w14:textId="7FAC6E19" w:rsidR="00ED4A15" w:rsidRPr="00FC52BC" w:rsidRDefault="00ED4A15" w:rsidP="00143AB2">
      <w:pPr>
        <w:autoSpaceDE w:val="0"/>
        <w:autoSpaceDN w:val="0"/>
        <w:adjustRightInd w:val="0"/>
        <w:spacing w:after="0"/>
        <w:jc w:val="both"/>
        <w:rPr>
          <w:rFonts w:cs="Calibri"/>
          <w:color w:val="000000"/>
        </w:rPr>
      </w:pPr>
      <w:r w:rsidRPr="00FC52BC">
        <w:rPr>
          <w:rFonts w:cs="Calibri"/>
          <w:color w:val="000000"/>
        </w:rPr>
        <w:t>O korištenju sredstava proračunske zalihe izvještava se sukladno odredbama Zakona o proračunu.</w:t>
      </w:r>
    </w:p>
    <w:p w14:paraId="0DF901FD" w14:textId="77777777" w:rsidR="00ED4A15" w:rsidRPr="00FC52BC" w:rsidRDefault="00ED4A15" w:rsidP="00143AB2">
      <w:pPr>
        <w:autoSpaceDE w:val="0"/>
        <w:autoSpaceDN w:val="0"/>
        <w:adjustRightInd w:val="0"/>
        <w:spacing w:after="0"/>
        <w:jc w:val="both"/>
        <w:rPr>
          <w:rFonts w:cs="Calibri"/>
          <w:color w:val="EE0000"/>
        </w:rPr>
      </w:pPr>
    </w:p>
    <w:p w14:paraId="75D7082C" w14:textId="77777777" w:rsidR="001A1CD8" w:rsidRPr="00FC52BC" w:rsidRDefault="001A1CD8" w:rsidP="001A1CD8">
      <w:pPr>
        <w:autoSpaceDE w:val="0"/>
        <w:autoSpaceDN w:val="0"/>
        <w:adjustRightInd w:val="0"/>
        <w:spacing w:after="0"/>
        <w:jc w:val="center"/>
        <w:rPr>
          <w:rFonts w:cs="Calibri"/>
          <w:strike/>
          <w:color w:val="EE0000"/>
        </w:rPr>
      </w:pPr>
    </w:p>
    <w:p w14:paraId="55617758" w14:textId="4F46DA53" w:rsidR="001A1CD8" w:rsidRPr="00FC52BC" w:rsidRDefault="001A1CD8" w:rsidP="001A1CD8">
      <w:pPr>
        <w:autoSpaceDE w:val="0"/>
        <w:autoSpaceDN w:val="0"/>
        <w:adjustRightInd w:val="0"/>
        <w:spacing w:after="0"/>
        <w:jc w:val="center"/>
        <w:rPr>
          <w:rFonts w:cs="Calibri"/>
          <w:color w:val="000000"/>
        </w:rPr>
      </w:pPr>
      <w:r w:rsidRPr="00FC52BC">
        <w:rPr>
          <w:rFonts w:cs="Calibri"/>
          <w:color w:val="000000"/>
        </w:rPr>
        <w:t xml:space="preserve">Članak </w:t>
      </w:r>
      <w:r w:rsidR="000E0B45" w:rsidRPr="00FC52BC">
        <w:rPr>
          <w:rFonts w:cs="Calibri"/>
          <w:color w:val="000000"/>
        </w:rPr>
        <w:t>8</w:t>
      </w:r>
      <w:r w:rsidRPr="00FC52BC">
        <w:rPr>
          <w:rFonts w:cs="Calibri"/>
          <w:color w:val="000000"/>
        </w:rPr>
        <w:t>.</w:t>
      </w:r>
    </w:p>
    <w:p w14:paraId="172C5273" w14:textId="77777777" w:rsidR="001A1CD8" w:rsidRPr="00FC52BC" w:rsidRDefault="001A1CD8" w:rsidP="001A1CD8">
      <w:pPr>
        <w:autoSpaceDE w:val="0"/>
        <w:autoSpaceDN w:val="0"/>
        <w:adjustRightInd w:val="0"/>
        <w:spacing w:after="0"/>
        <w:jc w:val="both"/>
        <w:rPr>
          <w:rFonts w:cs="Calibri"/>
          <w:color w:val="000000"/>
        </w:rPr>
      </w:pPr>
      <w:r w:rsidRPr="00FC52BC">
        <w:rPr>
          <w:rFonts w:cs="Calibri"/>
          <w:color w:val="000000"/>
        </w:rPr>
        <w:t>Plaćanje predujma moguće je samo uz odobrenje Općinskog načelnika.</w:t>
      </w:r>
    </w:p>
    <w:p w14:paraId="1A63B356" w14:textId="77777777" w:rsidR="001A1CD8" w:rsidRPr="00FC52BC" w:rsidRDefault="001A1CD8" w:rsidP="001A1CD8">
      <w:pPr>
        <w:autoSpaceDE w:val="0"/>
        <w:autoSpaceDN w:val="0"/>
        <w:adjustRightInd w:val="0"/>
        <w:spacing w:after="0"/>
        <w:jc w:val="both"/>
        <w:rPr>
          <w:rFonts w:cs="Calibri"/>
          <w:color w:val="000000"/>
        </w:rPr>
      </w:pPr>
    </w:p>
    <w:p w14:paraId="536FE44C" w14:textId="75B5AA54" w:rsidR="003200EA" w:rsidRPr="00FC52BC" w:rsidRDefault="001A1CD8" w:rsidP="00563EFF">
      <w:pPr>
        <w:autoSpaceDE w:val="0"/>
        <w:autoSpaceDN w:val="0"/>
        <w:adjustRightInd w:val="0"/>
        <w:spacing w:after="0"/>
        <w:jc w:val="both"/>
        <w:rPr>
          <w:rFonts w:cs="Calibri"/>
          <w:color w:val="000000"/>
        </w:rPr>
      </w:pPr>
      <w:r w:rsidRPr="00FC52BC">
        <w:rPr>
          <w:rFonts w:cs="Calibri"/>
          <w:color w:val="000000"/>
        </w:rPr>
        <w:t>Odobrenje iz stavka 1. ovog članka podrazumijeva ovjeru knjigovodstvene isprave kojom se zahtjeva plaćanje predujma.</w:t>
      </w:r>
    </w:p>
    <w:p w14:paraId="08DD6C7E" w14:textId="77777777" w:rsidR="0057483F" w:rsidRPr="00FC52BC" w:rsidRDefault="0057483F" w:rsidP="000E0B45">
      <w:pPr>
        <w:autoSpaceDE w:val="0"/>
        <w:autoSpaceDN w:val="0"/>
        <w:adjustRightInd w:val="0"/>
        <w:spacing w:after="0"/>
        <w:rPr>
          <w:rFonts w:cs="Calibri"/>
          <w:color w:val="000000"/>
        </w:rPr>
      </w:pPr>
    </w:p>
    <w:p w14:paraId="3197C872" w14:textId="096B5185" w:rsidR="008D522A" w:rsidRPr="00FC52BC" w:rsidRDefault="008D522A" w:rsidP="008D522A">
      <w:pPr>
        <w:autoSpaceDE w:val="0"/>
        <w:autoSpaceDN w:val="0"/>
        <w:adjustRightInd w:val="0"/>
        <w:spacing w:after="0"/>
        <w:jc w:val="center"/>
        <w:rPr>
          <w:rFonts w:cs="Calibri"/>
          <w:color w:val="000000"/>
        </w:rPr>
      </w:pPr>
      <w:r w:rsidRPr="00FC52BC">
        <w:rPr>
          <w:rFonts w:cs="Calibri"/>
          <w:color w:val="000000"/>
        </w:rPr>
        <w:t xml:space="preserve">Članak </w:t>
      </w:r>
      <w:r w:rsidR="000E0B45" w:rsidRPr="00FC52BC">
        <w:rPr>
          <w:rFonts w:cs="Calibri"/>
          <w:color w:val="000000"/>
        </w:rPr>
        <w:t>9</w:t>
      </w:r>
      <w:r w:rsidRPr="00FC52BC">
        <w:rPr>
          <w:rFonts w:cs="Calibri"/>
          <w:color w:val="000000"/>
        </w:rPr>
        <w:t>.</w:t>
      </w:r>
    </w:p>
    <w:p w14:paraId="237B2AC2" w14:textId="3EA00A2A" w:rsidR="00F802B9" w:rsidRPr="00FC52BC" w:rsidRDefault="00F802B9" w:rsidP="009538A8">
      <w:pPr>
        <w:autoSpaceDE w:val="0"/>
        <w:autoSpaceDN w:val="0"/>
        <w:adjustRightInd w:val="0"/>
        <w:spacing w:after="0"/>
        <w:jc w:val="both"/>
        <w:rPr>
          <w:rFonts w:cs="Calibri"/>
          <w:lang w:eastAsia="hr-HR"/>
        </w:rPr>
      </w:pPr>
      <w:r w:rsidRPr="00FC52BC">
        <w:rPr>
          <w:rFonts w:cs="Calibri"/>
          <w:color w:val="000000"/>
        </w:rPr>
        <w:t>Imovinu Općine čine financijska i nefinancijska imovina kojom upravlja Općinski načelnik u skladu s posebnim propisima i Statutom.</w:t>
      </w:r>
    </w:p>
    <w:p w14:paraId="4EB631C4" w14:textId="77777777" w:rsidR="00F802B9" w:rsidRPr="00FC52BC" w:rsidRDefault="00F802B9" w:rsidP="009538A8">
      <w:pPr>
        <w:autoSpaceDE w:val="0"/>
        <w:autoSpaceDN w:val="0"/>
        <w:adjustRightInd w:val="0"/>
        <w:spacing w:after="0"/>
        <w:jc w:val="both"/>
        <w:rPr>
          <w:rFonts w:cs="Calibri"/>
          <w:lang w:eastAsia="hr-HR"/>
        </w:rPr>
      </w:pPr>
    </w:p>
    <w:p w14:paraId="26F1951F" w14:textId="472417E9" w:rsidR="009538A8" w:rsidRPr="00FC52BC" w:rsidRDefault="009538A8" w:rsidP="009538A8">
      <w:pPr>
        <w:autoSpaceDE w:val="0"/>
        <w:autoSpaceDN w:val="0"/>
        <w:adjustRightInd w:val="0"/>
        <w:spacing w:after="0"/>
        <w:jc w:val="both"/>
        <w:rPr>
          <w:rFonts w:cs="Calibri"/>
          <w:lang w:eastAsia="hr-HR"/>
        </w:rPr>
      </w:pPr>
      <w:r w:rsidRPr="00FC52BC">
        <w:rPr>
          <w:rFonts w:cs="Calibri"/>
          <w:lang w:eastAsia="hr-HR"/>
        </w:rPr>
        <w:t>Općinski načelnik upravlja raspoloživim novčanim sredstvima na računu Proračuna. Odluku o odabiru banke kod koje će se voditi račun Proračuna donosi Općinski načelnik.</w:t>
      </w:r>
    </w:p>
    <w:p w14:paraId="1CF27DF9" w14:textId="77777777" w:rsidR="009538A8" w:rsidRPr="00FC52BC" w:rsidRDefault="009538A8" w:rsidP="009538A8">
      <w:pPr>
        <w:autoSpaceDE w:val="0"/>
        <w:autoSpaceDN w:val="0"/>
        <w:adjustRightInd w:val="0"/>
        <w:spacing w:after="0"/>
        <w:jc w:val="both"/>
        <w:rPr>
          <w:rFonts w:cs="Calibri"/>
          <w:lang w:eastAsia="hr-HR"/>
        </w:rPr>
      </w:pPr>
    </w:p>
    <w:p w14:paraId="1DD78207" w14:textId="77777777" w:rsidR="009538A8" w:rsidRDefault="009538A8" w:rsidP="009538A8">
      <w:pPr>
        <w:autoSpaceDE w:val="0"/>
        <w:autoSpaceDN w:val="0"/>
        <w:adjustRightInd w:val="0"/>
        <w:spacing w:after="0"/>
        <w:jc w:val="both"/>
        <w:rPr>
          <w:rFonts w:cs="Calibri"/>
          <w:lang w:eastAsia="hr-HR"/>
        </w:rPr>
      </w:pPr>
      <w:r w:rsidRPr="00FC52BC">
        <w:rPr>
          <w:rFonts w:cs="Calibri"/>
          <w:lang w:eastAsia="hr-HR"/>
        </w:rPr>
        <w:t>Slobodna novčana sredstva Proračuna mogu se oročiti kod poslovne banke poštujući načela sigurnosti i likvidnosti. Ugovor o oročavanju potpisuje Općinski načelnik.</w:t>
      </w:r>
    </w:p>
    <w:p w14:paraId="29A45D92" w14:textId="77777777" w:rsidR="00FC52BC" w:rsidRPr="00FC52BC" w:rsidRDefault="00FC52BC" w:rsidP="009538A8">
      <w:pPr>
        <w:autoSpaceDE w:val="0"/>
        <w:autoSpaceDN w:val="0"/>
        <w:adjustRightInd w:val="0"/>
        <w:spacing w:after="0"/>
        <w:jc w:val="both"/>
        <w:rPr>
          <w:rFonts w:cs="Calibri"/>
          <w:lang w:eastAsia="hr-HR"/>
        </w:rPr>
      </w:pPr>
    </w:p>
    <w:p w14:paraId="6FA40A17" w14:textId="77777777" w:rsidR="0057483F" w:rsidRPr="00FC52BC" w:rsidRDefault="0057483F" w:rsidP="009538A8">
      <w:pPr>
        <w:autoSpaceDE w:val="0"/>
        <w:autoSpaceDN w:val="0"/>
        <w:adjustRightInd w:val="0"/>
        <w:spacing w:after="0"/>
        <w:jc w:val="both"/>
        <w:rPr>
          <w:rFonts w:cs="Calibri"/>
          <w:color w:val="000000"/>
        </w:rPr>
      </w:pPr>
    </w:p>
    <w:p w14:paraId="0323F7C0" w14:textId="5F59D821" w:rsidR="008D522A" w:rsidRPr="00FC52BC" w:rsidRDefault="008D522A" w:rsidP="008D522A">
      <w:pPr>
        <w:autoSpaceDE w:val="0"/>
        <w:autoSpaceDN w:val="0"/>
        <w:adjustRightInd w:val="0"/>
        <w:spacing w:after="0"/>
        <w:jc w:val="center"/>
        <w:rPr>
          <w:rFonts w:cs="Calibri"/>
          <w:color w:val="000000"/>
        </w:rPr>
      </w:pPr>
      <w:r w:rsidRPr="00FC52BC">
        <w:rPr>
          <w:rFonts w:cs="Calibri"/>
          <w:color w:val="000000"/>
        </w:rPr>
        <w:lastRenderedPageBreak/>
        <w:t>Članak 1</w:t>
      </w:r>
      <w:r w:rsidR="000E0B45" w:rsidRPr="00FC52BC">
        <w:rPr>
          <w:rFonts w:cs="Calibri"/>
          <w:color w:val="000000"/>
        </w:rPr>
        <w:t>0</w:t>
      </w:r>
      <w:r w:rsidRPr="00FC52BC">
        <w:rPr>
          <w:rFonts w:cs="Calibri"/>
          <w:color w:val="000000"/>
        </w:rPr>
        <w:t>.</w:t>
      </w:r>
    </w:p>
    <w:p w14:paraId="4A4017D1" w14:textId="487C2CF8" w:rsidR="004B5D8B" w:rsidRDefault="00F802B9" w:rsidP="004B5D8B">
      <w:pPr>
        <w:autoSpaceDE w:val="0"/>
        <w:autoSpaceDN w:val="0"/>
        <w:adjustRightInd w:val="0"/>
        <w:spacing w:after="0"/>
        <w:jc w:val="both"/>
        <w:rPr>
          <w:rFonts w:cs="Calibri"/>
          <w:color w:val="000000"/>
        </w:rPr>
      </w:pPr>
      <w:r w:rsidRPr="00FC52BC">
        <w:rPr>
          <w:rFonts w:cs="Calibri"/>
          <w:color w:val="000000"/>
        </w:rPr>
        <w:t>Odluku o kupnji dionica ili udjela u trgovačkom društvu donosi općinsko vijeće ako su za kupnju osigurana sredstva u Proračunu i ako se time štiti javni interes, odnosno interes Općine. U slučaju da prestane javni interes za vlasništvo dionica ili udjela u kapitalu trgovačkog društva, općinsko vijeće može odlučiti da se dionice odnosno udjeli u kapitalu prodaju, ukoliko to nije u suprotnosti s posebnim zakonom.</w:t>
      </w:r>
    </w:p>
    <w:p w14:paraId="7B787766" w14:textId="77777777" w:rsidR="00FC52BC" w:rsidRPr="00FC52BC" w:rsidRDefault="00FC52BC" w:rsidP="004B5D8B">
      <w:pPr>
        <w:autoSpaceDE w:val="0"/>
        <w:autoSpaceDN w:val="0"/>
        <w:adjustRightInd w:val="0"/>
        <w:spacing w:after="0"/>
        <w:jc w:val="both"/>
        <w:rPr>
          <w:rFonts w:cs="Calibri"/>
          <w:color w:val="000000"/>
        </w:rPr>
      </w:pPr>
    </w:p>
    <w:p w14:paraId="17DE8319" w14:textId="70A51837" w:rsidR="008D522A" w:rsidRPr="00FC52BC" w:rsidRDefault="008D522A" w:rsidP="008D522A">
      <w:pPr>
        <w:autoSpaceDE w:val="0"/>
        <w:autoSpaceDN w:val="0"/>
        <w:adjustRightInd w:val="0"/>
        <w:spacing w:after="0"/>
        <w:jc w:val="center"/>
        <w:rPr>
          <w:rFonts w:cs="Calibri"/>
          <w:color w:val="000000"/>
        </w:rPr>
      </w:pPr>
      <w:r w:rsidRPr="00FC52BC">
        <w:rPr>
          <w:rFonts w:cs="Calibri"/>
          <w:color w:val="000000"/>
        </w:rPr>
        <w:t>Članak 1</w:t>
      </w:r>
      <w:r w:rsidR="000E0B45" w:rsidRPr="00FC52BC">
        <w:rPr>
          <w:rFonts w:cs="Calibri"/>
          <w:color w:val="000000"/>
        </w:rPr>
        <w:t>1</w:t>
      </w:r>
      <w:r w:rsidRPr="00FC52BC">
        <w:rPr>
          <w:rFonts w:cs="Calibri"/>
          <w:color w:val="000000"/>
        </w:rPr>
        <w:t>.</w:t>
      </w:r>
    </w:p>
    <w:p w14:paraId="0AD0AF6A" w14:textId="42F50E29" w:rsidR="00FC52BC" w:rsidRDefault="00ED4A15" w:rsidP="00815B67">
      <w:pPr>
        <w:autoSpaceDE w:val="0"/>
        <w:autoSpaceDN w:val="0"/>
        <w:adjustRightInd w:val="0"/>
        <w:spacing w:after="0"/>
        <w:jc w:val="both"/>
        <w:rPr>
          <w:rFonts w:cs="Calibri"/>
          <w:color w:val="000000"/>
        </w:rPr>
      </w:pPr>
      <w:r w:rsidRPr="00FC52BC">
        <w:rPr>
          <w:rFonts w:cs="Calibri"/>
          <w:color w:val="000000"/>
        </w:rPr>
        <w:t>Instrumente osiguranja plaćanja, kojima se na teret proračuna stvaraju obveze potpisuje Općinski načelnik ili osoba koju on ovlasti. Instrumenti osiguranja plaćanja primljeni od pravnih osoba kao sredstvo osiguranja naplate potraživanja ili izvođenja radova i usluga, dostavljaju se Jedinstvenom upravnom odjel.</w:t>
      </w:r>
    </w:p>
    <w:p w14:paraId="34220F38" w14:textId="77777777" w:rsidR="00FC52BC" w:rsidRPr="00FC52BC" w:rsidRDefault="00FC52BC" w:rsidP="00FC52BC">
      <w:pPr>
        <w:autoSpaceDE w:val="0"/>
        <w:autoSpaceDN w:val="0"/>
        <w:adjustRightInd w:val="0"/>
        <w:spacing w:after="0"/>
        <w:rPr>
          <w:rFonts w:cs="Calibri"/>
          <w:color w:val="000000"/>
        </w:rPr>
      </w:pPr>
    </w:p>
    <w:p w14:paraId="1833B76E" w14:textId="21A67B30" w:rsidR="00712C06" w:rsidRPr="00FC52BC" w:rsidRDefault="000E0B45" w:rsidP="00712C06">
      <w:pPr>
        <w:rPr>
          <w:rFonts w:cs="Calibri"/>
        </w:rPr>
      </w:pPr>
      <w:r w:rsidRPr="00FC52BC">
        <w:rPr>
          <w:rFonts w:cs="Calibri"/>
        </w:rPr>
        <w:t xml:space="preserve">Općinski načelnik </w:t>
      </w:r>
      <w:r w:rsidR="00712C06" w:rsidRPr="00FC52BC">
        <w:rPr>
          <w:rFonts w:cs="Calibri"/>
        </w:rPr>
        <w:t xml:space="preserve">donosi posebnu odluku o kriterijima, uvjetima i postupku odgode plaćanja te otpisa potraživanja </w:t>
      </w:r>
      <w:r w:rsidRPr="00FC52BC">
        <w:rPr>
          <w:rFonts w:cs="Calibri"/>
        </w:rPr>
        <w:t>Općine Tompojevci</w:t>
      </w:r>
      <w:r w:rsidR="00712C06" w:rsidRPr="00FC52BC">
        <w:rPr>
          <w:rFonts w:cs="Calibri"/>
        </w:rPr>
        <w:t xml:space="preserve">. </w:t>
      </w:r>
    </w:p>
    <w:p w14:paraId="1D70AF4A" w14:textId="77777777" w:rsidR="004B5D8B" w:rsidRPr="00FC52BC" w:rsidRDefault="004B5D8B" w:rsidP="001A1CD8">
      <w:pPr>
        <w:autoSpaceDE w:val="0"/>
        <w:autoSpaceDN w:val="0"/>
        <w:adjustRightInd w:val="0"/>
        <w:spacing w:after="0"/>
        <w:rPr>
          <w:rFonts w:cs="Calibri"/>
          <w:color w:val="000000"/>
        </w:rPr>
      </w:pPr>
    </w:p>
    <w:p w14:paraId="3296DD90" w14:textId="57898D8C" w:rsidR="00F802B9" w:rsidRPr="00FC52BC" w:rsidRDefault="001A1CD8" w:rsidP="00FC52BC">
      <w:pPr>
        <w:pStyle w:val="Uvuenotijeloteksta"/>
        <w:ind w:firstLine="0"/>
        <w:jc w:val="center"/>
        <w:rPr>
          <w:rFonts w:ascii="Calibri" w:hAnsi="Calibri" w:cs="Calibri"/>
          <w:iCs/>
          <w:sz w:val="22"/>
          <w:szCs w:val="22"/>
        </w:rPr>
      </w:pPr>
      <w:r w:rsidRPr="00FC52BC">
        <w:rPr>
          <w:rFonts w:ascii="Calibri" w:hAnsi="Calibri" w:cs="Calibri"/>
          <w:iCs/>
          <w:sz w:val="22"/>
          <w:szCs w:val="22"/>
        </w:rPr>
        <w:t>Članak 1</w:t>
      </w:r>
      <w:r w:rsidR="000E0B45" w:rsidRPr="00FC52BC">
        <w:rPr>
          <w:rFonts w:ascii="Calibri" w:hAnsi="Calibri" w:cs="Calibri"/>
          <w:iCs/>
          <w:sz w:val="22"/>
          <w:szCs w:val="22"/>
        </w:rPr>
        <w:t>2</w:t>
      </w:r>
      <w:r w:rsidRPr="00FC52BC">
        <w:rPr>
          <w:rFonts w:ascii="Calibri" w:hAnsi="Calibri" w:cs="Calibri"/>
          <w:iCs/>
          <w:sz w:val="22"/>
          <w:szCs w:val="22"/>
        </w:rPr>
        <w:t>.</w:t>
      </w:r>
    </w:p>
    <w:p w14:paraId="1617613F" w14:textId="1C13E997" w:rsidR="00F802B9" w:rsidRPr="00FC52BC" w:rsidRDefault="00F802B9" w:rsidP="00FC52BC">
      <w:pPr>
        <w:jc w:val="both"/>
        <w:rPr>
          <w:rFonts w:cs="Calibri"/>
        </w:rPr>
      </w:pPr>
      <w:r w:rsidRPr="00FC52BC">
        <w:rPr>
          <w:rFonts w:cs="Calibri"/>
        </w:rPr>
        <w:t xml:space="preserve">Zaduživanje, te davanje suglasnosti i jamstva za zaduživanje obavlja se u skladu sa Zakonom o proračunu, Zakonom o izvršavanju Državnog proračuna i Pravilnikom o postupku zaduživanja te davanja jamstva i suglasnosti jedinica područne (regionalne) samouprave. Općina se može zaduživati uzimanjem kredita, zajmova i izdavanjem vrijednosnih papira. Zaduživanje može biti kratkoročno i dugoročno. </w:t>
      </w:r>
    </w:p>
    <w:p w14:paraId="680D09FD" w14:textId="062D620E" w:rsidR="00F802B9" w:rsidRPr="00FC52BC" w:rsidRDefault="00F802B9" w:rsidP="00F802B9">
      <w:pPr>
        <w:spacing w:after="0"/>
        <w:jc w:val="both"/>
        <w:rPr>
          <w:rFonts w:cs="Calibri"/>
        </w:rPr>
      </w:pPr>
      <w:r w:rsidRPr="00FC52BC">
        <w:rPr>
          <w:rFonts w:cs="Calibri"/>
        </w:rPr>
        <w:t xml:space="preserve">Općina se može kratkoročno zadužiti najduže do 12 mjeseci isključivo za premošćivanje jaza nastalog zbog različite dinamike priljeva sredstava i dospijeća obveza, u suglasju sa zakonom kojim se uređuje proračun. </w:t>
      </w:r>
    </w:p>
    <w:p w14:paraId="55543F79" w14:textId="77777777" w:rsidR="00FC52BC" w:rsidRDefault="00FC52BC" w:rsidP="00F802B9">
      <w:pPr>
        <w:spacing w:after="0"/>
        <w:jc w:val="both"/>
        <w:rPr>
          <w:rFonts w:cs="Calibri"/>
        </w:rPr>
      </w:pPr>
    </w:p>
    <w:p w14:paraId="75D0457D" w14:textId="02E63A39" w:rsidR="00F802B9" w:rsidRPr="00FC52BC" w:rsidRDefault="00F802B9" w:rsidP="00F802B9">
      <w:pPr>
        <w:spacing w:after="0"/>
        <w:jc w:val="both"/>
        <w:rPr>
          <w:rFonts w:cs="Calibri"/>
        </w:rPr>
      </w:pPr>
      <w:r w:rsidRPr="00FC52BC">
        <w:rPr>
          <w:rFonts w:cs="Calibri"/>
        </w:rPr>
        <w:t>Općina se može dugoročno zaduživati ako ispunjava uvjete iz odredaba članka 120. stavaka 1. i 2. Zakona o proračunu te odredaba zakona o izvršavanju državnog proračuna Republike Hrvatske koje se odnose na dugoročno zaduživanje u godini u kojoj se traži suglasnost</w:t>
      </w:r>
    </w:p>
    <w:p w14:paraId="2E4BF9B4" w14:textId="77777777" w:rsidR="001A1CD8" w:rsidRPr="00FC52BC" w:rsidRDefault="001A1CD8" w:rsidP="004B5D8B">
      <w:pPr>
        <w:autoSpaceDE w:val="0"/>
        <w:autoSpaceDN w:val="0"/>
        <w:adjustRightInd w:val="0"/>
        <w:spacing w:after="0"/>
        <w:jc w:val="both"/>
        <w:rPr>
          <w:rFonts w:cs="Calibri"/>
          <w:color w:val="000000"/>
        </w:rPr>
      </w:pPr>
    </w:p>
    <w:p w14:paraId="24331A6D" w14:textId="77777777" w:rsidR="000E0B45" w:rsidRPr="00FC52BC" w:rsidRDefault="000E0B45" w:rsidP="004B5D8B">
      <w:pPr>
        <w:autoSpaceDE w:val="0"/>
        <w:autoSpaceDN w:val="0"/>
        <w:adjustRightInd w:val="0"/>
        <w:spacing w:after="0"/>
        <w:jc w:val="both"/>
        <w:rPr>
          <w:rFonts w:cs="Calibri"/>
          <w:color w:val="000000"/>
        </w:rPr>
      </w:pPr>
    </w:p>
    <w:p w14:paraId="1CD3A3ED" w14:textId="77777777" w:rsidR="00FC52BC" w:rsidRDefault="000E0B45" w:rsidP="00FC52BC">
      <w:pPr>
        <w:spacing w:after="0"/>
        <w:jc w:val="center"/>
        <w:rPr>
          <w:rFonts w:cs="Calibri"/>
        </w:rPr>
      </w:pPr>
      <w:r w:rsidRPr="00FC52BC">
        <w:rPr>
          <w:rFonts w:cs="Calibri"/>
        </w:rPr>
        <w:t>Članak 13.</w:t>
      </w:r>
    </w:p>
    <w:p w14:paraId="4C4CEB16" w14:textId="78CE4901" w:rsidR="00FC52BC" w:rsidRPr="00FC52BC" w:rsidRDefault="000E0B45" w:rsidP="00FC52BC">
      <w:pPr>
        <w:spacing w:after="0"/>
        <w:jc w:val="both"/>
        <w:rPr>
          <w:rFonts w:cs="Calibri"/>
        </w:rPr>
      </w:pPr>
      <w:r w:rsidRPr="00FC52BC">
        <w:rPr>
          <w:rFonts w:cs="Calibri"/>
        </w:rPr>
        <w:t xml:space="preserve"> Za planiranje i izvršavanje Proračuna odgovoran je općinski načelnik. Općinski načelnik je ujedno i nalogodavac za izvršenje Proračuna. Prijedlog proračuna i izvještaj o izvršenju proračuna općinski načelnik podnosi Općinskom vijeću na zakonom propisani način i u propisanim rokovima</w:t>
      </w:r>
      <w:r w:rsidR="00FC52BC">
        <w:rPr>
          <w:rFonts w:cs="Calibri"/>
        </w:rPr>
        <w:t>.</w:t>
      </w:r>
    </w:p>
    <w:p w14:paraId="25CDA23C" w14:textId="77777777" w:rsidR="00FC52BC" w:rsidRDefault="00FC52BC" w:rsidP="000E0B45">
      <w:pPr>
        <w:jc w:val="center"/>
        <w:rPr>
          <w:rFonts w:cs="Calibri"/>
        </w:rPr>
      </w:pPr>
    </w:p>
    <w:p w14:paraId="3548A54B" w14:textId="131B9FC9" w:rsidR="000E0B45" w:rsidRPr="00FC52BC" w:rsidRDefault="000E0B45" w:rsidP="00FC52BC">
      <w:pPr>
        <w:spacing w:after="0"/>
        <w:jc w:val="center"/>
        <w:rPr>
          <w:rFonts w:cs="Calibri"/>
        </w:rPr>
      </w:pPr>
      <w:r w:rsidRPr="00FC52BC">
        <w:rPr>
          <w:rFonts w:cs="Calibri"/>
        </w:rPr>
        <w:t>Članak 14.</w:t>
      </w:r>
    </w:p>
    <w:p w14:paraId="3EF9FDF8" w14:textId="77777777" w:rsidR="000E0B45" w:rsidRPr="00FC52BC" w:rsidRDefault="000E0B45" w:rsidP="00FC52BC">
      <w:pPr>
        <w:spacing w:after="0"/>
        <w:rPr>
          <w:rFonts w:cs="Calibri"/>
        </w:rPr>
      </w:pPr>
      <w:r w:rsidRPr="00FC52BC">
        <w:rPr>
          <w:rFonts w:cs="Calibri"/>
        </w:rPr>
        <w:t xml:space="preserve">Postupak nabave roba i usluga i ustupanje radova odvija se u skladu sa Zakonom o javnoj nabavi. </w:t>
      </w:r>
    </w:p>
    <w:p w14:paraId="3009906D" w14:textId="77777777" w:rsidR="004B5D8B" w:rsidRPr="00FC52BC" w:rsidRDefault="004B5D8B" w:rsidP="00FC52BC">
      <w:pPr>
        <w:autoSpaceDE w:val="0"/>
        <w:autoSpaceDN w:val="0"/>
        <w:adjustRightInd w:val="0"/>
        <w:spacing w:after="0"/>
        <w:rPr>
          <w:rFonts w:cs="Calibri"/>
          <w:color w:val="000000"/>
        </w:rPr>
      </w:pPr>
    </w:p>
    <w:p w14:paraId="79F66103" w14:textId="32CCF78D" w:rsidR="008D522A" w:rsidRPr="00FC52BC" w:rsidRDefault="008D522A" w:rsidP="008D522A">
      <w:pPr>
        <w:autoSpaceDE w:val="0"/>
        <w:autoSpaceDN w:val="0"/>
        <w:adjustRightInd w:val="0"/>
        <w:spacing w:after="0"/>
        <w:jc w:val="center"/>
        <w:rPr>
          <w:rFonts w:cs="Calibri"/>
          <w:color w:val="000000"/>
        </w:rPr>
      </w:pPr>
      <w:r w:rsidRPr="00FC52BC">
        <w:rPr>
          <w:rFonts w:cs="Calibri"/>
          <w:color w:val="000000"/>
        </w:rPr>
        <w:t xml:space="preserve">Članak </w:t>
      </w:r>
      <w:r w:rsidR="004B048F" w:rsidRPr="00FC52BC">
        <w:rPr>
          <w:rFonts w:cs="Calibri"/>
          <w:color w:val="000000"/>
        </w:rPr>
        <w:t>1</w:t>
      </w:r>
      <w:r w:rsidR="000E0B45" w:rsidRPr="00FC52BC">
        <w:rPr>
          <w:rFonts w:cs="Calibri"/>
          <w:color w:val="000000"/>
        </w:rPr>
        <w:t>5</w:t>
      </w:r>
      <w:r w:rsidRPr="00FC52BC">
        <w:rPr>
          <w:rFonts w:cs="Calibri"/>
          <w:color w:val="000000"/>
        </w:rPr>
        <w:t>.</w:t>
      </w:r>
    </w:p>
    <w:p w14:paraId="7BF4B1DD" w14:textId="77777777" w:rsidR="008D522A" w:rsidRPr="00FC52BC" w:rsidRDefault="008D522A" w:rsidP="004B5D8B">
      <w:pPr>
        <w:autoSpaceDE w:val="0"/>
        <w:autoSpaceDN w:val="0"/>
        <w:adjustRightInd w:val="0"/>
        <w:spacing w:after="0"/>
        <w:jc w:val="both"/>
        <w:rPr>
          <w:rFonts w:cs="Calibri"/>
          <w:color w:val="000000"/>
        </w:rPr>
      </w:pPr>
      <w:r w:rsidRPr="00FC52BC">
        <w:rPr>
          <w:rFonts w:cs="Calibri"/>
          <w:color w:val="000000"/>
        </w:rPr>
        <w:t>Proračunski nadzor postupak je nadziranja zakonitosti, svrhovitosti i pravodobnosti</w:t>
      </w:r>
      <w:r w:rsidR="004B5D8B" w:rsidRPr="00FC52BC">
        <w:rPr>
          <w:rFonts w:cs="Calibri"/>
          <w:color w:val="000000"/>
        </w:rPr>
        <w:t xml:space="preserve"> </w:t>
      </w:r>
      <w:r w:rsidRPr="00FC52BC">
        <w:rPr>
          <w:rFonts w:cs="Calibri"/>
          <w:color w:val="000000"/>
        </w:rPr>
        <w:t>korištenja proračunskih sredstava kojim se nalažu mjere za otklanjanje utvrđenih</w:t>
      </w:r>
      <w:r w:rsidR="004B5D8B" w:rsidRPr="00FC52BC">
        <w:rPr>
          <w:rFonts w:cs="Calibri"/>
          <w:color w:val="000000"/>
        </w:rPr>
        <w:t xml:space="preserve"> </w:t>
      </w:r>
      <w:r w:rsidRPr="00FC52BC">
        <w:rPr>
          <w:rFonts w:cs="Calibri"/>
          <w:color w:val="000000"/>
        </w:rPr>
        <w:t>nezakonitosti i nepravilnosti. Obuhvaća nadzor rač</w:t>
      </w:r>
      <w:r w:rsidR="004B5D8B" w:rsidRPr="00FC52BC">
        <w:rPr>
          <w:rFonts w:cs="Calibri"/>
          <w:color w:val="000000"/>
        </w:rPr>
        <w:t xml:space="preserve">unovodstvenih, financijskih i </w:t>
      </w:r>
      <w:r w:rsidRPr="00FC52BC">
        <w:rPr>
          <w:rFonts w:cs="Calibri"/>
          <w:color w:val="000000"/>
        </w:rPr>
        <w:t>ostali</w:t>
      </w:r>
      <w:r w:rsidR="004B5D8B" w:rsidRPr="00FC52BC">
        <w:rPr>
          <w:rFonts w:cs="Calibri"/>
          <w:color w:val="000000"/>
        </w:rPr>
        <w:t xml:space="preserve"> </w:t>
      </w:r>
      <w:r w:rsidRPr="00FC52BC">
        <w:rPr>
          <w:rFonts w:cs="Calibri"/>
          <w:color w:val="000000"/>
        </w:rPr>
        <w:t>poslovnih dokumenata. Proračunski nadzor obavlja Ministarstvo financija.</w:t>
      </w:r>
    </w:p>
    <w:p w14:paraId="02C5B946" w14:textId="19AE9AA2" w:rsidR="008D522A" w:rsidRPr="00FC52BC" w:rsidRDefault="008D522A" w:rsidP="00FC52BC">
      <w:pPr>
        <w:autoSpaceDE w:val="0"/>
        <w:autoSpaceDN w:val="0"/>
        <w:adjustRightInd w:val="0"/>
        <w:spacing w:after="0"/>
        <w:rPr>
          <w:rFonts w:cs="Calibri"/>
          <w:color w:val="000000"/>
        </w:rPr>
      </w:pPr>
      <w:r w:rsidRPr="00FC52BC">
        <w:rPr>
          <w:rFonts w:cs="Calibri"/>
          <w:color w:val="000000"/>
        </w:rPr>
        <w:t xml:space="preserve">   </w:t>
      </w:r>
    </w:p>
    <w:p w14:paraId="76615D6F" w14:textId="169C8D75" w:rsidR="008D522A" w:rsidRPr="00FC52BC" w:rsidRDefault="008D522A" w:rsidP="008D522A">
      <w:pPr>
        <w:autoSpaceDE w:val="0"/>
        <w:autoSpaceDN w:val="0"/>
        <w:adjustRightInd w:val="0"/>
        <w:spacing w:after="0"/>
        <w:jc w:val="center"/>
        <w:rPr>
          <w:rFonts w:cs="Calibri"/>
          <w:color w:val="000000"/>
        </w:rPr>
      </w:pPr>
      <w:r w:rsidRPr="00FC52BC">
        <w:rPr>
          <w:rFonts w:cs="Calibri"/>
          <w:color w:val="000000"/>
        </w:rPr>
        <w:t xml:space="preserve">Članak </w:t>
      </w:r>
      <w:r w:rsidR="00563EFF" w:rsidRPr="00FC52BC">
        <w:rPr>
          <w:rFonts w:cs="Calibri"/>
          <w:color w:val="000000"/>
        </w:rPr>
        <w:t>1</w:t>
      </w:r>
      <w:r w:rsidR="000E0B45" w:rsidRPr="00FC52BC">
        <w:rPr>
          <w:rFonts w:cs="Calibri"/>
          <w:color w:val="000000"/>
        </w:rPr>
        <w:t>6</w:t>
      </w:r>
      <w:r w:rsidRPr="00FC52BC">
        <w:rPr>
          <w:rFonts w:cs="Calibri"/>
          <w:color w:val="000000"/>
        </w:rPr>
        <w:t>.</w:t>
      </w:r>
    </w:p>
    <w:p w14:paraId="138D3164" w14:textId="447BEAEC" w:rsidR="009B6CD3" w:rsidRPr="00FC52BC" w:rsidRDefault="008D522A" w:rsidP="009B6CD3">
      <w:pPr>
        <w:autoSpaceDE w:val="0"/>
        <w:autoSpaceDN w:val="0"/>
        <w:adjustRightInd w:val="0"/>
        <w:spacing w:after="0"/>
        <w:jc w:val="both"/>
        <w:rPr>
          <w:rFonts w:cs="Calibri"/>
        </w:rPr>
      </w:pPr>
      <w:r w:rsidRPr="00FC52BC">
        <w:rPr>
          <w:rFonts w:cs="Calibri"/>
        </w:rPr>
        <w:t xml:space="preserve">Ova Odluka </w:t>
      </w:r>
      <w:r w:rsidR="001A1CD8" w:rsidRPr="00FC52BC">
        <w:rPr>
          <w:rFonts w:cs="Calibri"/>
        </w:rPr>
        <w:t>objavit će se</w:t>
      </w:r>
      <w:r w:rsidR="00915E28" w:rsidRPr="00FC52BC">
        <w:rPr>
          <w:rFonts w:cs="Calibri"/>
        </w:rPr>
        <w:t xml:space="preserve"> u "Služben</w:t>
      </w:r>
      <w:r w:rsidR="00D91BE2" w:rsidRPr="00FC52BC">
        <w:rPr>
          <w:rFonts w:cs="Calibri"/>
        </w:rPr>
        <w:t>o</w:t>
      </w:r>
      <w:r w:rsidR="00915E28" w:rsidRPr="00FC52BC">
        <w:rPr>
          <w:rFonts w:cs="Calibri"/>
        </w:rPr>
        <w:t xml:space="preserve">m vjesniku" Vukovarsko-srijemske županije, </w:t>
      </w:r>
      <w:r w:rsidR="001A1CD8" w:rsidRPr="00FC52BC">
        <w:rPr>
          <w:rFonts w:cs="Calibri"/>
        </w:rPr>
        <w:t>i stupa na snagu</w:t>
      </w:r>
      <w:r w:rsidR="00915E28" w:rsidRPr="00FC52BC">
        <w:rPr>
          <w:rFonts w:cs="Calibri"/>
        </w:rPr>
        <w:t xml:space="preserve"> 01.01.202</w:t>
      </w:r>
      <w:r w:rsidR="00FC52BC">
        <w:rPr>
          <w:rFonts w:cs="Calibri"/>
        </w:rPr>
        <w:t>6</w:t>
      </w:r>
      <w:r w:rsidR="00915E28" w:rsidRPr="00FC52BC">
        <w:rPr>
          <w:rFonts w:cs="Calibri"/>
        </w:rPr>
        <w:t>. godine.</w:t>
      </w:r>
    </w:p>
    <w:p w14:paraId="3B726622" w14:textId="08830BC2" w:rsidR="00915E28" w:rsidRPr="00FC52BC" w:rsidRDefault="00915E28" w:rsidP="009B6CD3">
      <w:pPr>
        <w:autoSpaceDE w:val="0"/>
        <w:autoSpaceDN w:val="0"/>
        <w:adjustRightInd w:val="0"/>
        <w:spacing w:after="0"/>
        <w:jc w:val="both"/>
        <w:rPr>
          <w:rFonts w:cs="Calibri"/>
        </w:rPr>
      </w:pPr>
    </w:p>
    <w:p w14:paraId="2666CFE5" w14:textId="77777777" w:rsidR="00314BE6" w:rsidRPr="00FC52BC" w:rsidRDefault="00314BE6" w:rsidP="009B6CD3">
      <w:pPr>
        <w:autoSpaceDE w:val="0"/>
        <w:autoSpaceDN w:val="0"/>
        <w:adjustRightInd w:val="0"/>
        <w:spacing w:after="0"/>
        <w:jc w:val="both"/>
        <w:rPr>
          <w:rFonts w:cs="Calibri"/>
        </w:rPr>
      </w:pPr>
    </w:p>
    <w:p w14:paraId="540A477A" w14:textId="2545149B" w:rsidR="00915E28" w:rsidRPr="00FC52BC" w:rsidRDefault="00314BE6" w:rsidP="00314BE6">
      <w:pPr>
        <w:autoSpaceDE w:val="0"/>
        <w:autoSpaceDN w:val="0"/>
        <w:adjustRightInd w:val="0"/>
        <w:spacing w:after="0"/>
        <w:jc w:val="center"/>
        <w:rPr>
          <w:rFonts w:cs="Calibri"/>
        </w:rPr>
      </w:pPr>
      <w:r w:rsidRPr="00FC52BC">
        <w:rPr>
          <w:rFonts w:cs="Calibri"/>
        </w:rPr>
        <w:t>OPĆINSKO VIJEĆE OPĆINE TOMPOJEVCI</w:t>
      </w:r>
    </w:p>
    <w:p w14:paraId="66345719" w14:textId="00FE3D4B" w:rsidR="00314BE6" w:rsidRPr="00FC52BC" w:rsidRDefault="00314BE6" w:rsidP="009B6CD3">
      <w:pPr>
        <w:autoSpaceDE w:val="0"/>
        <w:autoSpaceDN w:val="0"/>
        <w:adjustRightInd w:val="0"/>
        <w:spacing w:after="0"/>
        <w:jc w:val="both"/>
        <w:rPr>
          <w:rFonts w:cs="Calibri"/>
        </w:rPr>
      </w:pPr>
    </w:p>
    <w:p w14:paraId="6B7BD40E" w14:textId="77777777" w:rsidR="00314BE6" w:rsidRPr="00FC52BC" w:rsidRDefault="00314BE6" w:rsidP="009B6CD3">
      <w:pPr>
        <w:autoSpaceDE w:val="0"/>
        <w:autoSpaceDN w:val="0"/>
        <w:adjustRightInd w:val="0"/>
        <w:spacing w:after="0"/>
        <w:jc w:val="both"/>
        <w:rPr>
          <w:rFonts w:cs="Calibri"/>
        </w:rPr>
      </w:pPr>
    </w:p>
    <w:p w14:paraId="1430AF68" w14:textId="430ED289" w:rsidR="004C780B" w:rsidRPr="00FC52BC" w:rsidRDefault="004C780B" w:rsidP="004C780B">
      <w:pPr>
        <w:widowControl w:val="0"/>
        <w:tabs>
          <w:tab w:val="left" w:pos="90"/>
          <w:tab w:val="center" w:pos="11990"/>
        </w:tabs>
        <w:autoSpaceDE w:val="0"/>
        <w:autoSpaceDN w:val="0"/>
        <w:adjustRightInd w:val="0"/>
        <w:spacing w:after="0"/>
        <w:rPr>
          <w:rFonts w:eastAsia="Times New Roman" w:cs="Calibri"/>
          <w:color w:val="000000"/>
          <w:lang w:eastAsia="hr-HR"/>
        </w:rPr>
      </w:pPr>
      <w:r w:rsidRPr="00FC52BC">
        <w:rPr>
          <w:rFonts w:eastAsia="Times New Roman" w:cs="Calibri"/>
          <w:color w:val="000000"/>
          <w:lang w:eastAsia="hr-HR"/>
        </w:rPr>
        <w:t>KLASA:400-06/2</w:t>
      </w:r>
      <w:r w:rsidR="00FC52BC">
        <w:rPr>
          <w:rFonts w:eastAsia="Times New Roman" w:cs="Calibri"/>
          <w:color w:val="000000"/>
          <w:lang w:eastAsia="hr-HR"/>
        </w:rPr>
        <w:t>5</w:t>
      </w:r>
      <w:r w:rsidRPr="00FC52BC">
        <w:rPr>
          <w:rFonts w:eastAsia="Times New Roman" w:cs="Calibri"/>
          <w:color w:val="000000"/>
          <w:lang w:eastAsia="hr-HR"/>
        </w:rPr>
        <w:t>-01/</w:t>
      </w:r>
      <w:r w:rsidR="006537BB">
        <w:rPr>
          <w:rFonts w:eastAsia="Times New Roman" w:cs="Calibri"/>
          <w:color w:val="000000"/>
          <w:lang w:eastAsia="hr-HR"/>
        </w:rPr>
        <w:t>03</w:t>
      </w:r>
      <w:r w:rsidRPr="00FC52BC">
        <w:rPr>
          <w:rFonts w:eastAsia="Times New Roman" w:cs="Calibri"/>
          <w:lang w:eastAsia="hr-HR"/>
        </w:rPr>
        <w:tab/>
      </w:r>
      <w:r w:rsidRPr="00FC52BC">
        <w:rPr>
          <w:rFonts w:eastAsia="Times New Roman" w:cs="Calibri"/>
          <w:color w:val="000000"/>
          <w:lang w:eastAsia="hr-HR"/>
        </w:rPr>
        <w:t xml:space="preserve"> </w:t>
      </w:r>
    </w:p>
    <w:p w14:paraId="6726ECEE" w14:textId="2AAFA205" w:rsidR="00314BE6" w:rsidRPr="00FC52BC" w:rsidRDefault="004C780B" w:rsidP="004C780B">
      <w:pPr>
        <w:widowControl w:val="0"/>
        <w:tabs>
          <w:tab w:val="left" w:pos="90"/>
        </w:tabs>
        <w:autoSpaceDE w:val="0"/>
        <w:autoSpaceDN w:val="0"/>
        <w:adjustRightInd w:val="0"/>
        <w:spacing w:after="0"/>
        <w:rPr>
          <w:rFonts w:eastAsia="Times New Roman" w:cs="Calibri"/>
          <w:color w:val="000000"/>
          <w:lang w:eastAsia="hr-HR"/>
        </w:rPr>
      </w:pPr>
      <w:r w:rsidRPr="00FC52BC">
        <w:rPr>
          <w:rFonts w:eastAsia="Times New Roman" w:cs="Calibri"/>
          <w:color w:val="000000"/>
          <w:lang w:eastAsia="hr-HR"/>
        </w:rPr>
        <w:t>URBROJ:2196-26-02-2</w:t>
      </w:r>
      <w:r w:rsidR="00FC52BC">
        <w:rPr>
          <w:rFonts w:eastAsia="Times New Roman" w:cs="Calibri"/>
          <w:color w:val="000000"/>
          <w:lang w:eastAsia="hr-HR"/>
        </w:rPr>
        <w:t>5</w:t>
      </w:r>
      <w:r w:rsidRPr="00FC52BC">
        <w:rPr>
          <w:rFonts w:eastAsia="Times New Roman" w:cs="Calibri"/>
          <w:color w:val="000000"/>
          <w:lang w:eastAsia="hr-HR"/>
        </w:rPr>
        <w:t>-</w:t>
      </w:r>
      <w:r w:rsidR="006537BB">
        <w:rPr>
          <w:rFonts w:eastAsia="Times New Roman" w:cs="Calibri"/>
          <w:color w:val="000000"/>
          <w:lang w:eastAsia="hr-HR"/>
        </w:rPr>
        <w:t>6</w:t>
      </w:r>
      <w:r w:rsidRPr="00FC52BC">
        <w:rPr>
          <w:rFonts w:eastAsia="Times New Roman" w:cs="Calibri"/>
          <w:color w:val="000000"/>
          <w:lang w:eastAsia="hr-HR"/>
        </w:rPr>
        <w:tab/>
      </w:r>
      <w:r w:rsidRPr="00FC52BC">
        <w:rPr>
          <w:rFonts w:eastAsia="Times New Roman" w:cs="Calibri"/>
          <w:color w:val="000000"/>
          <w:lang w:eastAsia="hr-HR"/>
        </w:rPr>
        <w:tab/>
      </w:r>
      <w:r w:rsidRPr="00FC52BC">
        <w:rPr>
          <w:rFonts w:eastAsia="Times New Roman" w:cs="Calibri"/>
          <w:color w:val="000000"/>
          <w:lang w:eastAsia="hr-HR"/>
        </w:rPr>
        <w:tab/>
      </w:r>
      <w:r w:rsidRPr="00FC52BC">
        <w:rPr>
          <w:rFonts w:eastAsia="Times New Roman" w:cs="Calibri"/>
          <w:color w:val="000000"/>
          <w:lang w:eastAsia="hr-HR"/>
        </w:rPr>
        <w:tab/>
      </w:r>
      <w:r w:rsidRPr="00FC52BC">
        <w:rPr>
          <w:rFonts w:eastAsia="Times New Roman" w:cs="Calibri"/>
          <w:color w:val="000000"/>
          <w:lang w:eastAsia="hr-HR"/>
        </w:rPr>
        <w:tab/>
      </w:r>
      <w:r w:rsidRPr="00FC52BC">
        <w:rPr>
          <w:rFonts w:eastAsia="Times New Roman" w:cs="Calibri"/>
          <w:color w:val="000000"/>
          <w:lang w:eastAsia="hr-HR"/>
        </w:rPr>
        <w:tab/>
      </w:r>
      <w:r w:rsidRPr="00FC52BC">
        <w:rPr>
          <w:rFonts w:eastAsia="Times New Roman" w:cs="Calibri"/>
          <w:color w:val="000000"/>
          <w:lang w:eastAsia="hr-HR"/>
        </w:rPr>
        <w:tab/>
      </w:r>
    </w:p>
    <w:p w14:paraId="04C7B455" w14:textId="5277EF1F" w:rsidR="004C780B" w:rsidRPr="00FC52BC" w:rsidRDefault="004C780B" w:rsidP="004C780B">
      <w:pPr>
        <w:widowControl w:val="0"/>
        <w:tabs>
          <w:tab w:val="left" w:pos="90"/>
        </w:tabs>
        <w:autoSpaceDE w:val="0"/>
        <w:autoSpaceDN w:val="0"/>
        <w:adjustRightInd w:val="0"/>
        <w:spacing w:after="0"/>
        <w:rPr>
          <w:rFonts w:eastAsia="Times New Roman" w:cs="Calibri"/>
          <w:color w:val="000000"/>
          <w:lang w:eastAsia="hr-HR"/>
        </w:rPr>
      </w:pPr>
      <w:r w:rsidRPr="00FC52BC">
        <w:rPr>
          <w:rFonts w:eastAsia="Times New Roman" w:cs="Calibri"/>
          <w:color w:val="000000"/>
          <w:lang w:eastAsia="hr-HR"/>
        </w:rPr>
        <w:t>Tompojevci,</w:t>
      </w:r>
      <w:r w:rsidR="006537BB">
        <w:rPr>
          <w:rFonts w:eastAsia="Times New Roman" w:cs="Calibri"/>
          <w:color w:val="000000"/>
          <w:lang w:eastAsia="hr-HR"/>
        </w:rPr>
        <w:t xml:space="preserve"> 12</w:t>
      </w:r>
      <w:r w:rsidR="00314BE6" w:rsidRPr="00FC52BC">
        <w:rPr>
          <w:rFonts w:eastAsia="Times New Roman" w:cs="Calibri"/>
          <w:color w:val="000000"/>
          <w:lang w:eastAsia="hr-HR"/>
        </w:rPr>
        <w:t xml:space="preserve">. prosinac </w:t>
      </w:r>
      <w:r w:rsidRPr="00FC52BC">
        <w:rPr>
          <w:rFonts w:eastAsia="Times New Roman" w:cs="Calibri"/>
          <w:color w:val="000000"/>
          <w:lang w:eastAsia="hr-HR"/>
        </w:rPr>
        <w:t>202</w:t>
      </w:r>
      <w:r w:rsidR="00FC52BC">
        <w:rPr>
          <w:rFonts w:eastAsia="Times New Roman" w:cs="Calibri"/>
          <w:color w:val="000000"/>
          <w:lang w:eastAsia="hr-HR"/>
        </w:rPr>
        <w:t>5</w:t>
      </w:r>
      <w:r w:rsidRPr="00FC52BC">
        <w:rPr>
          <w:rFonts w:eastAsia="Times New Roman" w:cs="Calibri"/>
          <w:color w:val="000000"/>
          <w:lang w:eastAsia="hr-HR"/>
        </w:rPr>
        <w:t xml:space="preserve">. </w:t>
      </w:r>
    </w:p>
    <w:p w14:paraId="1F66D585" w14:textId="471A0018" w:rsidR="00915E28" w:rsidRPr="00FC52BC" w:rsidRDefault="00915E28" w:rsidP="009B6CD3">
      <w:pPr>
        <w:autoSpaceDE w:val="0"/>
        <w:autoSpaceDN w:val="0"/>
        <w:adjustRightInd w:val="0"/>
        <w:spacing w:after="0"/>
        <w:jc w:val="both"/>
        <w:rPr>
          <w:rFonts w:cs="Calibri"/>
        </w:rPr>
      </w:pPr>
    </w:p>
    <w:p w14:paraId="4B827C13" w14:textId="77777777" w:rsidR="00915E28" w:rsidRPr="00FC52BC" w:rsidRDefault="00915E28" w:rsidP="009B6CD3">
      <w:pPr>
        <w:autoSpaceDE w:val="0"/>
        <w:autoSpaceDN w:val="0"/>
        <w:adjustRightInd w:val="0"/>
        <w:spacing w:after="0"/>
        <w:jc w:val="both"/>
        <w:rPr>
          <w:rFonts w:cs="Calibri"/>
          <w:color w:val="000000"/>
        </w:rPr>
      </w:pPr>
    </w:p>
    <w:p w14:paraId="2AAC8A84" w14:textId="69FE9B0D" w:rsidR="00224177" w:rsidRPr="00FC52BC" w:rsidRDefault="001A1CD8" w:rsidP="00263E2A">
      <w:pPr>
        <w:spacing w:after="0"/>
        <w:jc w:val="right"/>
        <w:rPr>
          <w:rFonts w:cs="Calibri"/>
        </w:rPr>
      </w:pPr>
      <w:r w:rsidRPr="00FC52BC">
        <w:rPr>
          <w:rFonts w:cs="Calibri"/>
        </w:rPr>
        <w:t>PREDSJEDNIK OPĆINSKOG VIJEĆA</w:t>
      </w:r>
    </w:p>
    <w:p w14:paraId="276E529C" w14:textId="200DEEA9" w:rsidR="001807B4" w:rsidRPr="00FC52BC" w:rsidRDefault="00224177" w:rsidP="00D14729">
      <w:pPr>
        <w:spacing w:after="0"/>
        <w:jc w:val="center"/>
        <w:rPr>
          <w:rFonts w:cs="Calibri"/>
        </w:rPr>
      </w:pPr>
      <w:r w:rsidRPr="00FC52BC">
        <w:rPr>
          <w:rFonts w:cs="Calibri"/>
        </w:rPr>
        <w:t xml:space="preserve">                                        </w:t>
      </w:r>
      <w:r w:rsidR="006107EE" w:rsidRPr="00FC52BC">
        <w:rPr>
          <w:rFonts w:cs="Calibri"/>
        </w:rPr>
        <w:t xml:space="preserve">                            </w:t>
      </w:r>
      <w:r w:rsidR="00263E2A" w:rsidRPr="00FC52BC">
        <w:rPr>
          <w:rFonts w:cs="Calibri"/>
        </w:rPr>
        <w:t xml:space="preserve">                                       </w:t>
      </w:r>
      <w:r w:rsidR="00564BDB" w:rsidRPr="00FC52BC">
        <w:rPr>
          <w:rFonts w:cs="Calibri"/>
        </w:rPr>
        <w:t xml:space="preserve">                  </w:t>
      </w:r>
      <w:r w:rsidR="005E05DE" w:rsidRPr="00FC52BC">
        <w:rPr>
          <w:rFonts w:cs="Calibri"/>
        </w:rPr>
        <w:t>Ivan Štefanac</w:t>
      </w:r>
    </w:p>
    <w:p w14:paraId="277BBF40" w14:textId="77777777" w:rsidR="002666E4" w:rsidRPr="00FC52BC" w:rsidRDefault="002666E4" w:rsidP="00D14729">
      <w:pPr>
        <w:spacing w:after="0"/>
        <w:jc w:val="center"/>
        <w:rPr>
          <w:rFonts w:cs="Calibri"/>
        </w:rPr>
      </w:pPr>
    </w:p>
    <w:p w14:paraId="2362F0F4" w14:textId="77777777" w:rsidR="002666E4" w:rsidRPr="00FC52BC" w:rsidRDefault="002666E4" w:rsidP="00D14729">
      <w:pPr>
        <w:spacing w:after="0"/>
        <w:jc w:val="center"/>
        <w:rPr>
          <w:rFonts w:cs="Calibri"/>
        </w:rPr>
      </w:pPr>
    </w:p>
    <w:p w14:paraId="323ABA0F" w14:textId="77777777" w:rsidR="002666E4" w:rsidRPr="00FC52BC" w:rsidRDefault="002666E4" w:rsidP="00D14729">
      <w:pPr>
        <w:spacing w:after="0"/>
        <w:jc w:val="center"/>
        <w:rPr>
          <w:rFonts w:cs="Calibri"/>
        </w:rPr>
      </w:pPr>
    </w:p>
    <w:sectPr w:rsidR="002666E4" w:rsidRPr="00FC52BC" w:rsidSect="008D00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F6EC4"/>
    <w:multiLevelType w:val="hybridMultilevel"/>
    <w:tmpl w:val="62781DDE"/>
    <w:lvl w:ilvl="0" w:tplc="7DE06572">
      <w:numFmt w:val="bullet"/>
      <w:lvlText w:val="–"/>
      <w:lvlJc w:val="left"/>
      <w:pPr>
        <w:ind w:left="720" w:hanging="360"/>
      </w:pPr>
      <w:rPr>
        <w:rFonts w:ascii="Calibri" w:eastAsia="SimSu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01E0F3B"/>
    <w:multiLevelType w:val="hybridMultilevel"/>
    <w:tmpl w:val="E7CAE030"/>
    <w:lvl w:ilvl="0" w:tplc="AF32BF1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46031397">
    <w:abstractNumId w:val="1"/>
  </w:num>
  <w:num w:numId="2" w16cid:durableId="61756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123"/>
    <w:rsid w:val="000532B1"/>
    <w:rsid w:val="000677D5"/>
    <w:rsid w:val="00070D37"/>
    <w:rsid w:val="000A46B7"/>
    <w:rsid w:val="000B0BF3"/>
    <w:rsid w:val="000D5E1E"/>
    <w:rsid w:val="000E0B45"/>
    <w:rsid w:val="000F3C43"/>
    <w:rsid w:val="00101941"/>
    <w:rsid w:val="00124845"/>
    <w:rsid w:val="00143AB2"/>
    <w:rsid w:val="00176722"/>
    <w:rsid w:val="001807B4"/>
    <w:rsid w:val="001A06A8"/>
    <w:rsid w:val="001A1CD8"/>
    <w:rsid w:val="001A685F"/>
    <w:rsid w:val="001C7367"/>
    <w:rsid w:val="00216AB6"/>
    <w:rsid w:val="00224177"/>
    <w:rsid w:val="0023337A"/>
    <w:rsid w:val="002358D5"/>
    <w:rsid w:val="002541D8"/>
    <w:rsid w:val="00263E2A"/>
    <w:rsid w:val="002666E4"/>
    <w:rsid w:val="002869C0"/>
    <w:rsid w:val="002C421B"/>
    <w:rsid w:val="00310DAB"/>
    <w:rsid w:val="00314BE6"/>
    <w:rsid w:val="003200EA"/>
    <w:rsid w:val="00327704"/>
    <w:rsid w:val="00331429"/>
    <w:rsid w:val="003616A8"/>
    <w:rsid w:val="003616EE"/>
    <w:rsid w:val="00366F2B"/>
    <w:rsid w:val="003E2FE5"/>
    <w:rsid w:val="003E7858"/>
    <w:rsid w:val="00420C9F"/>
    <w:rsid w:val="00464DFC"/>
    <w:rsid w:val="0049175E"/>
    <w:rsid w:val="004969DC"/>
    <w:rsid w:val="004B048F"/>
    <w:rsid w:val="004B5D8B"/>
    <w:rsid w:val="004C780B"/>
    <w:rsid w:val="004D3E66"/>
    <w:rsid w:val="004D7BC6"/>
    <w:rsid w:val="004E32A8"/>
    <w:rsid w:val="00557D55"/>
    <w:rsid w:val="00563EFF"/>
    <w:rsid w:val="00564BDB"/>
    <w:rsid w:val="0057483F"/>
    <w:rsid w:val="00583A86"/>
    <w:rsid w:val="005B0BD2"/>
    <w:rsid w:val="005C338A"/>
    <w:rsid w:val="005E05DE"/>
    <w:rsid w:val="005E6732"/>
    <w:rsid w:val="005F461D"/>
    <w:rsid w:val="006049A6"/>
    <w:rsid w:val="0060742B"/>
    <w:rsid w:val="006107EE"/>
    <w:rsid w:val="006537BB"/>
    <w:rsid w:val="00681936"/>
    <w:rsid w:val="006A55A5"/>
    <w:rsid w:val="006B3145"/>
    <w:rsid w:val="006B4C05"/>
    <w:rsid w:val="006D3123"/>
    <w:rsid w:val="006D4DC0"/>
    <w:rsid w:val="006E2750"/>
    <w:rsid w:val="006F48AE"/>
    <w:rsid w:val="006F59CA"/>
    <w:rsid w:val="00712C06"/>
    <w:rsid w:val="00713AE2"/>
    <w:rsid w:val="00724098"/>
    <w:rsid w:val="00737B0D"/>
    <w:rsid w:val="007475AF"/>
    <w:rsid w:val="00785D9D"/>
    <w:rsid w:val="00795520"/>
    <w:rsid w:val="007A34B1"/>
    <w:rsid w:val="007B0BD9"/>
    <w:rsid w:val="007F19D2"/>
    <w:rsid w:val="00807234"/>
    <w:rsid w:val="00815B67"/>
    <w:rsid w:val="00871A83"/>
    <w:rsid w:val="00897BB2"/>
    <w:rsid w:val="008D0078"/>
    <w:rsid w:val="008D522A"/>
    <w:rsid w:val="00915E28"/>
    <w:rsid w:val="00932AF7"/>
    <w:rsid w:val="009410CF"/>
    <w:rsid w:val="00947AC7"/>
    <w:rsid w:val="009538A8"/>
    <w:rsid w:val="009A0AFC"/>
    <w:rsid w:val="009B6CD3"/>
    <w:rsid w:val="009D7141"/>
    <w:rsid w:val="009F25B1"/>
    <w:rsid w:val="009F4B6B"/>
    <w:rsid w:val="009F6D22"/>
    <w:rsid w:val="00A30DFF"/>
    <w:rsid w:val="00A3742B"/>
    <w:rsid w:val="00A64F4B"/>
    <w:rsid w:val="00A83096"/>
    <w:rsid w:val="00A94321"/>
    <w:rsid w:val="00AD7496"/>
    <w:rsid w:val="00AE340E"/>
    <w:rsid w:val="00AE487D"/>
    <w:rsid w:val="00AF6507"/>
    <w:rsid w:val="00AF6BED"/>
    <w:rsid w:val="00B33AE8"/>
    <w:rsid w:val="00B410CE"/>
    <w:rsid w:val="00B56C61"/>
    <w:rsid w:val="00B732A8"/>
    <w:rsid w:val="00B75E3C"/>
    <w:rsid w:val="00BA5BC0"/>
    <w:rsid w:val="00BC4C5B"/>
    <w:rsid w:val="00C30895"/>
    <w:rsid w:val="00C30D9F"/>
    <w:rsid w:val="00C513B5"/>
    <w:rsid w:val="00C56F2A"/>
    <w:rsid w:val="00C576A9"/>
    <w:rsid w:val="00C774EE"/>
    <w:rsid w:val="00C81D74"/>
    <w:rsid w:val="00C96521"/>
    <w:rsid w:val="00CE1CD1"/>
    <w:rsid w:val="00CE5122"/>
    <w:rsid w:val="00CF21EE"/>
    <w:rsid w:val="00CF30B3"/>
    <w:rsid w:val="00D0377A"/>
    <w:rsid w:val="00D14729"/>
    <w:rsid w:val="00D31E9C"/>
    <w:rsid w:val="00D55FFE"/>
    <w:rsid w:val="00D91BE2"/>
    <w:rsid w:val="00DF518A"/>
    <w:rsid w:val="00E01ECF"/>
    <w:rsid w:val="00E1259F"/>
    <w:rsid w:val="00E272E1"/>
    <w:rsid w:val="00E869AF"/>
    <w:rsid w:val="00EB048B"/>
    <w:rsid w:val="00EB6BB6"/>
    <w:rsid w:val="00EB7CB8"/>
    <w:rsid w:val="00ED4A15"/>
    <w:rsid w:val="00EF4FF4"/>
    <w:rsid w:val="00F012AE"/>
    <w:rsid w:val="00F62EEC"/>
    <w:rsid w:val="00F802B9"/>
    <w:rsid w:val="00F9642F"/>
    <w:rsid w:val="00FA72BD"/>
    <w:rsid w:val="00FC52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DF4B3"/>
  <w15:docId w15:val="{4607C18D-81E0-4B13-B5C6-19616323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123"/>
    <w:pPr>
      <w:spacing w:after="200"/>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6F48AE"/>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F48AE"/>
    <w:rPr>
      <w:rFonts w:ascii="Tahoma" w:hAnsi="Tahoma" w:cs="Tahoma"/>
      <w:sz w:val="16"/>
      <w:szCs w:val="16"/>
      <w:lang w:eastAsia="en-US"/>
    </w:rPr>
  </w:style>
  <w:style w:type="paragraph" w:styleId="Uvuenotijeloteksta">
    <w:name w:val="Body Text Indent"/>
    <w:basedOn w:val="Normal"/>
    <w:link w:val="UvuenotijelotekstaChar"/>
    <w:rsid w:val="001A1CD8"/>
    <w:pPr>
      <w:spacing w:after="0"/>
      <w:ind w:firstLine="708"/>
      <w:jc w:val="both"/>
    </w:pPr>
    <w:rPr>
      <w:rFonts w:ascii="Times New Roman" w:eastAsia="Times New Roman" w:hAnsi="Times New Roman"/>
      <w:sz w:val="24"/>
      <w:szCs w:val="24"/>
      <w:lang w:eastAsia="hr-HR"/>
    </w:rPr>
  </w:style>
  <w:style w:type="character" w:customStyle="1" w:styleId="UvuenotijelotekstaChar">
    <w:name w:val="Uvučeno tijelo teksta Char"/>
    <w:basedOn w:val="Zadanifontodlomka"/>
    <w:link w:val="Uvuenotijeloteksta"/>
    <w:rsid w:val="001A1CD8"/>
    <w:rPr>
      <w:rFonts w:ascii="Times New Roman" w:eastAsia="Times New Roman" w:hAnsi="Times New Roman"/>
      <w:sz w:val="24"/>
      <w:szCs w:val="24"/>
    </w:rPr>
  </w:style>
  <w:style w:type="paragraph" w:styleId="Tijeloteksta">
    <w:name w:val="Body Text"/>
    <w:basedOn w:val="Normal"/>
    <w:link w:val="TijelotekstaChar"/>
    <w:uiPriority w:val="99"/>
    <w:unhideWhenUsed/>
    <w:rsid w:val="0049175E"/>
    <w:pPr>
      <w:spacing w:after="120"/>
    </w:pPr>
  </w:style>
  <w:style w:type="character" w:customStyle="1" w:styleId="TijelotekstaChar">
    <w:name w:val="Tijelo teksta Char"/>
    <w:basedOn w:val="Zadanifontodlomka"/>
    <w:link w:val="Tijeloteksta"/>
    <w:uiPriority w:val="99"/>
    <w:rsid w:val="0049175E"/>
    <w:rPr>
      <w:sz w:val="22"/>
      <w:szCs w:val="22"/>
      <w:lang w:eastAsia="en-US"/>
    </w:rPr>
  </w:style>
  <w:style w:type="paragraph" w:styleId="StandardWeb">
    <w:name w:val="Normal (Web)"/>
    <w:basedOn w:val="Normal"/>
    <w:rsid w:val="00E1259F"/>
    <w:pPr>
      <w:widowControl w:val="0"/>
      <w:suppressAutoHyphens/>
      <w:spacing w:before="280" w:after="280"/>
    </w:pPr>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54121">
      <w:bodyDiv w:val="1"/>
      <w:marLeft w:val="0"/>
      <w:marRight w:val="0"/>
      <w:marTop w:val="0"/>
      <w:marBottom w:val="0"/>
      <w:divBdr>
        <w:top w:val="none" w:sz="0" w:space="0" w:color="auto"/>
        <w:left w:val="none" w:sz="0" w:space="0" w:color="auto"/>
        <w:bottom w:val="none" w:sz="0" w:space="0" w:color="auto"/>
        <w:right w:val="none" w:sz="0" w:space="0" w:color="auto"/>
      </w:divBdr>
      <w:divsChild>
        <w:div w:id="2129348982">
          <w:marLeft w:val="0"/>
          <w:marRight w:val="0"/>
          <w:marTop w:val="0"/>
          <w:marBottom w:val="0"/>
          <w:divBdr>
            <w:top w:val="none" w:sz="0" w:space="0" w:color="auto"/>
            <w:left w:val="none" w:sz="0" w:space="0" w:color="auto"/>
            <w:bottom w:val="none" w:sz="0" w:space="0" w:color="auto"/>
            <w:right w:val="none" w:sz="0" w:space="0" w:color="auto"/>
          </w:divBdr>
        </w:div>
        <w:div w:id="1519852457">
          <w:marLeft w:val="0"/>
          <w:marRight w:val="0"/>
          <w:marTop w:val="0"/>
          <w:marBottom w:val="0"/>
          <w:divBdr>
            <w:top w:val="none" w:sz="0" w:space="0" w:color="auto"/>
            <w:left w:val="none" w:sz="0" w:space="0" w:color="auto"/>
            <w:bottom w:val="none" w:sz="0" w:space="0" w:color="auto"/>
            <w:right w:val="none" w:sz="0" w:space="0" w:color="auto"/>
          </w:divBdr>
        </w:div>
        <w:div w:id="1050349374">
          <w:marLeft w:val="0"/>
          <w:marRight w:val="0"/>
          <w:marTop w:val="0"/>
          <w:marBottom w:val="0"/>
          <w:divBdr>
            <w:top w:val="none" w:sz="0" w:space="0" w:color="auto"/>
            <w:left w:val="none" w:sz="0" w:space="0" w:color="auto"/>
            <w:bottom w:val="none" w:sz="0" w:space="0" w:color="auto"/>
            <w:right w:val="none" w:sz="0" w:space="0" w:color="auto"/>
          </w:divBdr>
        </w:div>
        <w:div w:id="944188118">
          <w:marLeft w:val="0"/>
          <w:marRight w:val="0"/>
          <w:marTop w:val="0"/>
          <w:marBottom w:val="0"/>
          <w:divBdr>
            <w:top w:val="none" w:sz="0" w:space="0" w:color="auto"/>
            <w:left w:val="none" w:sz="0" w:space="0" w:color="auto"/>
            <w:bottom w:val="none" w:sz="0" w:space="0" w:color="auto"/>
            <w:right w:val="none" w:sz="0" w:space="0" w:color="auto"/>
          </w:divBdr>
        </w:div>
        <w:div w:id="1532297863">
          <w:marLeft w:val="0"/>
          <w:marRight w:val="0"/>
          <w:marTop w:val="0"/>
          <w:marBottom w:val="0"/>
          <w:divBdr>
            <w:top w:val="none" w:sz="0" w:space="0" w:color="auto"/>
            <w:left w:val="none" w:sz="0" w:space="0" w:color="auto"/>
            <w:bottom w:val="none" w:sz="0" w:space="0" w:color="auto"/>
            <w:right w:val="none" w:sz="0" w:space="0" w:color="auto"/>
          </w:divBdr>
        </w:div>
        <w:div w:id="1954049388">
          <w:marLeft w:val="0"/>
          <w:marRight w:val="0"/>
          <w:marTop w:val="0"/>
          <w:marBottom w:val="0"/>
          <w:divBdr>
            <w:top w:val="none" w:sz="0" w:space="0" w:color="auto"/>
            <w:left w:val="none" w:sz="0" w:space="0" w:color="auto"/>
            <w:bottom w:val="none" w:sz="0" w:space="0" w:color="auto"/>
            <w:right w:val="none" w:sz="0" w:space="0" w:color="auto"/>
          </w:divBdr>
        </w:div>
        <w:div w:id="1869831262">
          <w:marLeft w:val="0"/>
          <w:marRight w:val="0"/>
          <w:marTop w:val="0"/>
          <w:marBottom w:val="0"/>
          <w:divBdr>
            <w:top w:val="none" w:sz="0" w:space="0" w:color="auto"/>
            <w:left w:val="none" w:sz="0" w:space="0" w:color="auto"/>
            <w:bottom w:val="none" w:sz="0" w:space="0" w:color="auto"/>
            <w:right w:val="none" w:sz="0" w:space="0" w:color="auto"/>
          </w:divBdr>
        </w:div>
        <w:div w:id="869494143">
          <w:marLeft w:val="0"/>
          <w:marRight w:val="0"/>
          <w:marTop w:val="0"/>
          <w:marBottom w:val="0"/>
          <w:divBdr>
            <w:top w:val="none" w:sz="0" w:space="0" w:color="auto"/>
            <w:left w:val="none" w:sz="0" w:space="0" w:color="auto"/>
            <w:bottom w:val="none" w:sz="0" w:space="0" w:color="auto"/>
            <w:right w:val="none" w:sz="0" w:space="0" w:color="auto"/>
          </w:divBdr>
        </w:div>
        <w:div w:id="1416899995">
          <w:marLeft w:val="0"/>
          <w:marRight w:val="0"/>
          <w:marTop w:val="0"/>
          <w:marBottom w:val="0"/>
          <w:divBdr>
            <w:top w:val="none" w:sz="0" w:space="0" w:color="auto"/>
            <w:left w:val="none" w:sz="0" w:space="0" w:color="auto"/>
            <w:bottom w:val="none" w:sz="0" w:space="0" w:color="auto"/>
            <w:right w:val="none" w:sz="0" w:space="0" w:color="auto"/>
          </w:divBdr>
        </w:div>
        <w:div w:id="444429852">
          <w:marLeft w:val="0"/>
          <w:marRight w:val="0"/>
          <w:marTop w:val="0"/>
          <w:marBottom w:val="0"/>
          <w:divBdr>
            <w:top w:val="none" w:sz="0" w:space="0" w:color="auto"/>
            <w:left w:val="none" w:sz="0" w:space="0" w:color="auto"/>
            <w:bottom w:val="none" w:sz="0" w:space="0" w:color="auto"/>
            <w:right w:val="none" w:sz="0" w:space="0" w:color="auto"/>
          </w:divBdr>
        </w:div>
        <w:div w:id="1093429437">
          <w:marLeft w:val="0"/>
          <w:marRight w:val="0"/>
          <w:marTop w:val="0"/>
          <w:marBottom w:val="0"/>
          <w:divBdr>
            <w:top w:val="none" w:sz="0" w:space="0" w:color="auto"/>
            <w:left w:val="none" w:sz="0" w:space="0" w:color="auto"/>
            <w:bottom w:val="none" w:sz="0" w:space="0" w:color="auto"/>
            <w:right w:val="none" w:sz="0" w:space="0" w:color="auto"/>
          </w:divBdr>
        </w:div>
        <w:div w:id="1389694495">
          <w:marLeft w:val="0"/>
          <w:marRight w:val="0"/>
          <w:marTop w:val="0"/>
          <w:marBottom w:val="0"/>
          <w:divBdr>
            <w:top w:val="none" w:sz="0" w:space="0" w:color="auto"/>
            <w:left w:val="none" w:sz="0" w:space="0" w:color="auto"/>
            <w:bottom w:val="none" w:sz="0" w:space="0" w:color="auto"/>
            <w:right w:val="none" w:sz="0" w:space="0" w:color="auto"/>
          </w:divBdr>
        </w:div>
        <w:div w:id="1233926486">
          <w:marLeft w:val="0"/>
          <w:marRight w:val="0"/>
          <w:marTop w:val="0"/>
          <w:marBottom w:val="0"/>
          <w:divBdr>
            <w:top w:val="none" w:sz="0" w:space="0" w:color="auto"/>
            <w:left w:val="none" w:sz="0" w:space="0" w:color="auto"/>
            <w:bottom w:val="none" w:sz="0" w:space="0" w:color="auto"/>
            <w:right w:val="none" w:sz="0" w:space="0" w:color="auto"/>
          </w:divBdr>
        </w:div>
        <w:div w:id="649284479">
          <w:marLeft w:val="0"/>
          <w:marRight w:val="0"/>
          <w:marTop w:val="0"/>
          <w:marBottom w:val="0"/>
          <w:divBdr>
            <w:top w:val="none" w:sz="0" w:space="0" w:color="auto"/>
            <w:left w:val="none" w:sz="0" w:space="0" w:color="auto"/>
            <w:bottom w:val="none" w:sz="0" w:space="0" w:color="auto"/>
            <w:right w:val="none" w:sz="0" w:space="0" w:color="auto"/>
          </w:divBdr>
        </w:div>
        <w:div w:id="1745762645">
          <w:marLeft w:val="0"/>
          <w:marRight w:val="0"/>
          <w:marTop w:val="0"/>
          <w:marBottom w:val="0"/>
          <w:divBdr>
            <w:top w:val="none" w:sz="0" w:space="0" w:color="auto"/>
            <w:left w:val="none" w:sz="0" w:space="0" w:color="auto"/>
            <w:bottom w:val="none" w:sz="0" w:space="0" w:color="auto"/>
            <w:right w:val="none" w:sz="0" w:space="0" w:color="auto"/>
          </w:divBdr>
        </w:div>
        <w:div w:id="81538716">
          <w:marLeft w:val="0"/>
          <w:marRight w:val="0"/>
          <w:marTop w:val="0"/>
          <w:marBottom w:val="0"/>
          <w:divBdr>
            <w:top w:val="none" w:sz="0" w:space="0" w:color="auto"/>
            <w:left w:val="none" w:sz="0" w:space="0" w:color="auto"/>
            <w:bottom w:val="none" w:sz="0" w:space="0" w:color="auto"/>
            <w:right w:val="none" w:sz="0" w:space="0" w:color="auto"/>
          </w:divBdr>
        </w:div>
        <w:div w:id="744717683">
          <w:marLeft w:val="0"/>
          <w:marRight w:val="0"/>
          <w:marTop w:val="0"/>
          <w:marBottom w:val="0"/>
          <w:divBdr>
            <w:top w:val="none" w:sz="0" w:space="0" w:color="auto"/>
            <w:left w:val="none" w:sz="0" w:space="0" w:color="auto"/>
            <w:bottom w:val="none" w:sz="0" w:space="0" w:color="auto"/>
            <w:right w:val="none" w:sz="0" w:space="0" w:color="auto"/>
          </w:divBdr>
        </w:div>
        <w:div w:id="1365599894">
          <w:marLeft w:val="0"/>
          <w:marRight w:val="0"/>
          <w:marTop w:val="0"/>
          <w:marBottom w:val="0"/>
          <w:divBdr>
            <w:top w:val="none" w:sz="0" w:space="0" w:color="auto"/>
            <w:left w:val="none" w:sz="0" w:space="0" w:color="auto"/>
            <w:bottom w:val="none" w:sz="0" w:space="0" w:color="auto"/>
            <w:right w:val="none" w:sz="0" w:space="0" w:color="auto"/>
          </w:divBdr>
        </w:div>
        <w:div w:id="1075779205">
          <w:marLeft w:val="0"/>
          <w:marRight w:val="0"/>
          <w:marTop w:val="0"/>
          <w:marBottom w:val="0"/>
          <w:divBdr>
            <w:top w:val="none" w:sz="0" w:space="0" w:color="auto"/>
            <w:left w:val="none" w:sz="0" w:space="0" w:color="auto"/>
            <w:bottom w:val="none" w:sz="0" w:space="0" w:color="auto"/>
            <w:right w:val="none" w:sz="0" w:space="0" w:color="auto"/>
          </w:divBdr>
        </w:div>
        <w:div w:id="1857234144">
          <w:marLeft w:val="0"/>
          <w:marRight w:val="0"/>
          <w:marTop w:val="0"/>
          <w:marBottom w:val="0"/>
          <w:divBdr>
            <w:top w:val="none" w:sz="0" w:space="0" w:color="auto"/>
            <w:left w:val="none" w:sz="0" w:space="0" w:color="auto"/>
            <w:bottom w:val="none" w:sz="0" w:space="0" w:color="auto"/>
            <w:right w:val="none" w:sz="0" w:space="0" w:color="auto"/>
          </w:divBdr>
        </w:div>
        <w:div w:id="1230774070">
          <w:marLeft w:val="0"/>
          <w:marRight w:val="0"/>
          <w:marTop w:val="0"/>
          <w:marBottom w:val="0"/>
          <w:divBdr>
            <w:top w:val="none" w:sz="0" w:space="0" w:color="auto"/>
            <w:left w:val="none" w:sz="0" w:space="0" w:color="auto"/>
            <w:bottom w:val="none" w:sz="0" w:space="0" w:color="auto"/>
            <w:right w:val="none" w:sz="0" w:space="0" w:color="auto"/>
          </w:divBdr>
        </w:div>
        <w:div w:id="1551844116">
          <w:marLeft w:val="0"/>
          <w:marRight w:val="0"/>
          <w:marTop w:val="0"/>
          <w:marBottom w:val="0"/>
          <w:divBdr>
            <w:top w:val="none" w:sz="0" w:space="0" w:color="auto"/>
            <w:left w:val="none" w:sz="0" w:space="0" w:color="auto"/>
            <w:bottom w:val="none" w:sz="0" w:space="0" w:color="auto"/>
            <w:right w:val="none" w:sz="0" w:space="0" w:color="auto"/>
          </w:divBdr>
        </w:div>
        <w:div w:id="1799452294">
          <w:marLeft w:val="0"/>
          <w:marRight w:val="0"/>
          <w:marTop w:val="0"/>
          <w:marBottom w:val="0"/>
          <w:divBdr>
            <w:top w:val="none" w:sz="0" w:space="0" w:color="auto"/>
            <w:left w:val="none" w:sz="0" w:space="0" w:color="auto"/>
            <w:bottom w:val="none" w:sz="0" w:space="0" w:color="auto"/>
            <w:right w:val="none" w:sz="0" w:space="0" w:color="auto"/>
          </w:divBdr>
        </w:div>
        <w:div w:id="571083779">
          <w:marLeft w:val="0"/>
          <w:marRight w:val="0"/>
          <w:marTop w:val="0"/>
          <w:marBottom w:val="0"/>
          <w:divBdr>
            <w:top w:val="none" w:sz="0" w:space="0" w:color="auto"/>
            <w:left w:val="none" w:sz="0" w:space="0" w:color="auto"/>
            <w:bottom w:val="none" w:sz="0" w:space="0" w:color="auto"/>
            <w:right w:val="none" w:sz="0" w:space="0" w:color="auto"/>
          </w:divBdr>
        </w:div>
        <w:div w:id="1532264266">
          <w:marLeft w:val="0"/>
          <w:marRight w:val="0"/>
          <w:marTop w:val="0"/>
          <w:marBottom w:val="0"/>
          <w:divBdr>
            <w:top w:val="none" w:sz="0" w:space="0" w:color="auto"/>
            <w:left w:val="none" w:sz="0" w:space="0" w:color="auto"/>
            <w:bottom w:val="none" w:sz="0" w:space="0" w:color="auto"/>
            <w:right w:val="none" w:sz="0" w:space="0" w:color="auto"/>
          </w:divBdr>
        </w:div>
        <w:div w:id="1675958346">
          <w:marLeft w:val="0"/>
          <w:marRight w:val="0"/>
          <w:marTop w:val="0"/>
          <w:marBottom w:val="0"/>
          <w:divBdr>
            <w:top w:val="none" w:sz="0" w:space="0" w:color="auto"/>
            <w:left w:val="none" w:sz="0" w:space="0" w:color="auto"/>
            <w:bottom w:val="none" w:sz="0" w:space="0" w:color="auto"/>
            <w:right w:val="none" w:sz="0" w:space="0" w:color="auto"/>
          </w:divBdr>
        </w:div>
        <w:div w:id="1802453976">
          <w:marLeft w:val="0"/>
          <w:marRight w:val="0"/>
          <w:marTop w:val="0"/>
          <w:marBottom w:val="0"/>
          <w:divBdr>
            <w:top w:val="none" w:sz="0" w:space="0" w:color="auto"/>
            <w:left w:val="none" w:sz="0" w:space="0" w:color="auto"/>
            <w:bottom w:val="none" w:sz="0" w:space="0" w:color="auto"/>
            <w:right w:val="none" w:sz="0" w:space="0" w:color="auto"/>
          </w:divBdr>
        </w:div>
        <w:div w:id="1466657015">
          <w:marLeft w:val="0"/>
          <w:marRight w:val="0"/>
          <w:marTop w:val="0"/>
          <w:marBottom w:val="0"/>
          <w:divBdr>
            <w:top w:val="none" w:sz="0" w:space="0" w:color="auto"/>
            <w:left w:val="none" w:sz="0" w:space="0" w:color="auto"/>
            <w:bottom w:val="none" w:sz="0" w:space="0" w:color="auto"/>
            <w:right w:val="none" w:sz="0" w:space="0" w:color="auto"/>
          </w:divBdr>
        </w:div>
        <w:div w:id="1958293699">
          <w:marLeft w:val="0"/>
          <w:marRight w:val="0"/>
          <w:marTop w:val="0"/>
          <w:marBottom w:val="0"/>
          <w:divBdr>
            <w:top w:val="none" w:sz="0" w:space="0" w:color="auto"/>
            <w:left w:val="none" w:sz="0" w:space="0" w:color="auto"/>
            <w:bottom w:val="none" w:sz="0" w:space="0" w:color="auto"/>
            <w:right w:val="none" w:sz="0" w:space="0" w:color="auto"/>
          </w:divBdr>
        </w:div>
        <w:div w:id="812989795">
          <w:marLeft w:val="0"/>
          <w:marRight w:val="0"/>
          <w:marTop w:val="0"/>
          <w:marBottom w:val="0"/>
          <w:divBdr>
            <w:top w:val="none" w:sz="0" w:space="0" w:color="auto"/>
            <w:left w:val="none" w:sz="0" w:space="0" w:color="auto"/>
            <w:bottom w:val="none" w:sz="0" w:space="0" w:color="auto"/>
            <w:right w:val="none" w:sz="0" w:space="0" w:color="auto"/>
          </w:divBdr>
        </w:div>
        <w:div w:id="151720508">
          <w:marLeft w:val="0"/>
          <w:marRight w:val="0"/>
          <w:marTop w:val="0"/>
          <w:marBottom w:val="0"/>
          <w:divBdr>
            <w:top w:val="none" w:sz="0" w:space="0" w:color="auto"/>
            <w:left w:val="none" w:sz="0" w:space="0" w:color="auto"/>
            <w:bottom w:val="none" w:sz="0" w:space="0" w:color="auto"/>
            <w:right w:val="none" w:sz="0" w:space="0" w:color="auto"/>
          </w:divBdr>
        </w:div>
        <w:div w:id="111167748">
          <w:marLeft w:val="0"/>
          <w:marRight w:val="0"/>
          <w:marTop w:val="0"/>
          <w:marBottom w:val="0"/>
          <w:divBdr>
            <w:top w:val="none" w:sz="0" w:space="0" w:color="auto"/>
            <w:left w:val="none" w:sz="0" w:space="0" w:color="auto"/>
            <w:bottom w:val="none" w:sz="0" w:space="0" w:color="auto"/>
            <w:right w:val="none" w:sz="0" w:space="0" w:color="auto"/>
          </w:divBdr>
        </w:div>
        <w:div w:id="1071734662">
          <w:marLeft w:val="0"/>
          <w:marRight w:val="0"/>
          <w:marTop w:val="0"/>
          <w:marBottom w:val="0"/>
          <w:divBdr>
            <w:top w:val="none" w:sz="0" w:space="0" w:color="auto"/>
            <w:left w:val="none" w:sz="0" w:space="0" w:color="auto"/>
            <w:bottom w:val="none" w:sz="0" w:space="0" w:color="auto"/>
            <w:right w:val="none" w:sz="0" w:space="0" w:color="auto"/>
          </w:divBdr>
        </w:div>
        <w:div w:id="954598542">
          <w:marLeft w:val="0"/>
          <w:marRight w:val="0"/>
          <w:marTop w:val="0"/>
          <w:marBottom w:val="0"/>
          <w:divBdr>
            <w:top w:val="none" w:sz="0" w:space="0" w:color="auto"/>
            <w:left w:val="none" w:sz="0" w:space="0" w:color="auto"/>
            <w:bottom w:val="none" w:sz="0" w:space="0" w:color="auto"/>
            <w:right w:val="none" w:sz="0" w:space="0" w:color="auto"/>
          </w:divBdr>
        </w:div>
        <w:div w:id="873542100">
          <w:marLeft w:val="0"/>
          <w:marRight w:val="0"/>
          <w:marTop w:val="0"/>
          <w:marBottom w:val="0"/>
          <w:divBdr>
            <w:top w:val="none" w:sz="0" w:space="0" w:color="auto"/>
            <w:left w:val="none" w:sz="0" w:space="0" w:color="auto"/>
            <w:bottom w:val="none" w:sz="0" w:space="0" w:color="auto"/>
            <w:right w:val="none" w:sz="0" w:space="0" w:color="auto"/>
          </w:divBdr>
        </w:div>
        <w:div w:id="553129205">
          <w:marLeft w:val="0"/>
          <w:marRight w:val="0"/>
          <w:marTop w:val="0"/>
          <w:marBottom w:val="0"/>
          <w:divBdr>
            <w:top w:val="none" w:sz="0" w:space="0" w:color="auto"/>
            <w:left w:val="none" w:sz="0" w:space="0" w:color="auto"/>
            <w:bottom w:val="none" w:sz="0" w:space="0" w:color="auto"/>
            <w:right w:val="none" w:sz="0" w:space="0" w:color="auto"/>
          </w:divBdr>
        </w:div>
        <w:div w:id="2111509675">
          <w:marLeft w:val="0"/>
          <w:marRight w:val="0"/>
          <w:marTop w:val="0"/>
          <w:marBottom w:val="0"/>
          <w:divBdr>
            <w:top w:val="none" w:sz="0" w:space="0" w:color="auto"/>
            <w:left w:val="none" w:sz="0" w:space="0" w:color="auto"/>
            <w:bottom w:val="none" w:sz="0" w:space="0" w:color="auto"/>
            <w:right w:val="none" w:sz="0" w:space="0" w:color="auto"/>
          </w:divBdr>
        </w:div>
        <w:div w:id="1854761869">
          <w:marLeft w:val="0"/>
          <w:marRight w:val="0"/>
          <w:marTop w:val="0"/>
          <w:marBottom w:val="0"/>
          <w:divBdr>
            <w:top w:val="none" w:sz="0" w:space="0" w:color="auto"/>
            <w:left w:val="none" w:sz="0" w:space="0" w:color="auto"/>
            <w:bottom w:val="none" w:sz="0" w:space="0" w:color="auto"/>
            <w:right w:val="none" w:sz="0" w:space="0" w:color="auto"/>
          </w:divBdr>
        </w:div>
        <w:div w:id="551502228">
          <w:marLeft w:val="0"/>
          <w:marRight w:val="0"/>
          <w:marTop w:val="0"/>
          <w:marBottom w:val="0"/>
          <w:divBdr>
            <w:top w:val="none" w:sz="0" w:space="0" w:color="auto"/>
            <w:left w:val="none" w:sz="0" w:space="0" w:color="auto"/>
            <w:bottom w:val="none" w:sz="0" w:space="0" w:color="auto"/>
            <w:right w:val="none" w:sz="0" w:space="0" w:color="auto"/>
          </w:divBdr>
        </w:div>
        <w:div w:id="1401757112">
          <w:marLeft w:val="0"/>
          <w:marRight w:val="0"/>
          <w:marTop w:val="0"/>
          <w:marBottom w:val="0"/>
          <w:divBdr>
            <w:top w:val="none" w:sz="0" w:space="0" w:color="auto"/>
            <w:left w:val="none" w:sz="0" w:space="0" w:color="auto"/>
            <w:bottom w:val="none" w:sz="0" w:space="0" w:color="auto"/>
            <w:right w:val="none" w:sz="0" w:space="0" w:color="auto"/>
          </w:divBdr>
        </w:div>
        <w:div w:id="510686399">
          <w:marLeft w:val="0"/>
          <w:marRight w:val="0"/>
          <w:marTop w:val="0"/>
          <w:marBottom w:val="0"/>
          <w:divBdr>
            <w:top w:val="none" w:sz="0" w:space="0" w:color="auto"/>
            <w:left w:val="none" w:sz="0" w:space="0" w:color="auto"/>
            <w:bottom w:val="none" w:sz="0" w:space="0" w:color="auto"/>
            <w:right w:val="none" w:sz="0" w:space="0" w:color="auto"/>
          </w:divBdr>
        </w:div>
        <w:div w:id="1912302734">
          <w:marLeft w:val="0"/>
          <w:marRight w:val="0"/>
          <w:marTop w:val="0"/>
          <w:marBottom w:val="0"/>
          <w:divBdr>
            <w:top w:val="none" w:sz="0" w:space="0" w:color="auto"/>
            <w:left w:val="none" w:sz="0" w:space="0" w:color="auto"/>
            <w:bottom w:val="none" w:sz="0" w:space="0" w:color="auto"/>
            <w:right w:val="none" w:sz="0" w:space="0" w:color="auto"/>
          </w:divBdr>
        </w:div>
        <w:div w:id="1038318553">
          <w:marLeft w:val="0"/>
          <w:marRight w:val="0"/>
          <w:marTop w:val="0"/>
          <w:marBottom w:val="0"/>
          <w:divBdr>
            <w:top w:val="none" w:sz="0" w:space="0" w:color="auto"/>
            <w:left w:val="none" w:sz="0" w:space="0" w:color="auto"/>
            <w:bottom w:val="none" w:sz="0" w:space="0" w:color="auto"/>
            <w:right w:val="none" w:sz="0" w:space="0" w:color="auto"/>
          </w:divBdr>
        </w:div>
        <w:div w:id="1864637021">
          <w:marLeft w:val="0"/>
          <w:marRight w:val="0"/>
          <w:marTop w:val="0"/>
          <w:marBottom w:val="0"/>
          <w:divBdr>
            <w:top w:val="none" w:sz="0" w:space="0" w:color="auto"/>
            <w:left w:val="none" w:sz="0" w:space="0" w:color="auto"/>
            <w:bottom w:val="none" w:sz="0" w:space="0" w:color="auto"/>
            <w:right w:val="none" w:sz="0" w:space="0" w:color="auto"/>
          </w:divBdr>
        </w:div>
        <w:div w:id="1942640674">
          <w:marLeft w:val="0"/>
          <w:marRight w:val="0"/>
          <w:marTop w:val="0"/>
          <w:marBottom w:val="0"/>
          <w:divBdr>
            <w:top w:val="none" w:sz="0" w:space="0" w:color="auto"/>
            <w:left w:val="none" w:sz="0" w:space="0" w:color="auto"/>
            <w:bottom w:val="none" w:sz="0" w:space="0" w:color="auto"/>
            <w:right w:val="none" w:sz="0" w:space="0" w:color="auto"/>
          </w:divBdr>
        </w:div>
        <w:div w:id="616833916">
          <w:marLeft w:val="0"/>
          <w:marRight w:val="0"/>
          <w:marTop w:val="0"/>
          <w:marBottom w:val="0"/>
          <w:divBdr>
            <w:top w:val="none" w:sz="0" w:space="0" w:color="auto"/>
            <w:left w:val="none" w:sz="0" w:space="0" w:color="auto"/>
            <w:bottom w:val="none" w:sz="0" w:space="0" w:color="auto"/>
            <w:right w:val="none" w:sz="0" w:space="0" w:color="auto"/>
          </w:divBdr>
        </w:div>
        <w:div w:id="1487479790">
          <w:marLeft w:val="0"/>
          <w:marRight w:val="0"/>
          <w:marTop w:val="0"/>
          <w:marBottom w:val="0"/>
          <w:divBdr>
            <w:top w:val="none" w:sz="0" w:space="0" w:color="auto"/>
            <w:left w:val="none" w:sz="0" w:space="0" w:color="auto"/>
            <w:bottom w:val="none" w:sz="0" w:space="0" w:color="auto"/>
            <w:right w:val="none" w:sz="0" w:space="0" w:color="auto"/>
          </w:divBdr>
        </w:div>
        <w:div w:id="1686904730">
          <w:marLeft w:val="0"/>
          <w:marRight w:val="0"/>
          <w:marTop w:val="0"/>
          <w:marBottom w:val="0"/>
          <w:divBdr>
            <w:top w:val="none" w:sz="0" w:space="0" w:color="auto"/>
            <w:left w:val="none" w:sz="0" w:space="0" w:color="auto"/>
            <w:bottom w:val="none" w:sz="0" w:space="0" w:color="auto"/>
            <w:right w:val="none" w:sz="0" w:space="0" w:color="auto"/>
          </w:divBdr>
        </w:div>
        <w:div w:id="2027361865">
          <w:marLeft w:val="0"/>
          <w:marRight w:val="0"/>
          <w:marTop w:val="0"/>
          <w:marBottom w:val="0"/>
          <w:divBdr>
            <w:top w:val="none" w:sz="0" w:space="0" w:color="auto"/>
            <w:left w:val="none" w:sz="0" w:space="0" w:color="auto"/>
            <w:bottom w:val="none" w:sz="0" w:space="0" w:color="auto"/>
            <w:right w:val="none" w:sz="0" w:space="0" w:color="auto"/>
          </w:divBdr>
        </w:div>
        <w:div w:id="1972513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1102</Words>
  <Characters>6283</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Katica Cvitković</dc:creator>
  <cp:lastModifiedBy>Općina Tompojevci</cp:lastModifiedBy>
  <cp:revision>8</cp:revision>
  <cp:lastPrinted>2025-11-25T08:18:00Z</cp:lastPrinted>
  <dcterms:created xsi:type="dcterms:W3CDTF">2025-11-25T11:03:00Z</dcterms:created>
  <dcterms:modified xsi:type="dcterms:W3CDTF">2025-12-12T10:23:00Z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9fb2549bd2b09281e1b492a6570120b7d49deea7403814cc5ce73ef061cddbf2</vt:lpwstr>
  </property>
</Properties>
</file>