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afda286a5479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37050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TOMPOJEVCI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1.869.894,63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2.493.764,99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978.287,28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1.556.491,92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891.607,35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937.273,07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105,1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33.324,76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15.603,38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958.527,71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946.454,80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925.202,95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930.851,42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6.421,65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Prema podacima iz Izvještaja o prihodima i rashodima, primicima i izdacima za period od 01.01.-31.12.2025. godine, ukupno ostvareni prihodi iznose  2.509.368,37 eura (šifra X678), odnose se na: - prihode poslovanja u iznosu od 2.493.764,99 eura   - prihodi od prodaje nefinancijske imovine u iznosu od 15.603,38 eura   Ukupni rashodi (šifra Y345) iznose  2.502.946,72 eura, te se odnose na:  - rashodi poslovanja u  iznosu od 1.556.491,92 eura  - rashodi za nabavu nefinancijske imovine  u iznosu od 946.454,80 eura  Na povećanje prihoda najvećim djelom je utjecalo povećanje od pomoći iz inozemstva i od subjekata unutar općeg proračuna i prihodi po posebnim propisima (od šumskog doprinosa). U izvještajnom razdoblju ostvaren je višak prihoda i primitaka  u iznosu od 6.421,65 eura, te preneseni višak prihoda iz prethodnih godina u iznosu od 38.056,87 eura čine ukupno raspoloživi višak prihoda od 44.478,52 eura za slijedeće razdoblje.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1.869.894,63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2.493.764,99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133,4</w:t>
            </w:r>
          </w:p>
        </w:tc>
      </w:tr>
    </w:tbl>
    <w:p>
      <w:pPr>
        <w:spacing w:before="0" w:after="0"/>
      </w:pPr>
    </w:p>
    <w:p>
      <w:r>
        <w:t xml:space="preserve">Ukupni ostvareni prihodi poslovanja  iznose  2.493.764,99 eura veći su za 33,4% odnose se na: - prihode od poreza  (šifra 61) u iznosu od 259.688,32 eura manji  su za  15,3 %  u odnosu na isto razdoblje prethodne godine zbog povrata poreza građanima.   - pomoći proračunu (šifra 63) u iznosu od 1.553.900,24 eura, veći su u odnosu na isto razdoblje za 29,9%, odnose se na: - tekuće pomoći iz državnog proračuna  u iznosu od 46.209,36 eura.  - tekuće pomoći iz županijskog proračuna u iznosu od 56.467,07 eura.  - kapitalne pomoći iz državnog proračuna  u iznosu od 615.714,66 eura (Ministarstvo znanosti, sporta i obrazovanja za dj. Vrtić Tompojevci, Ministarstvo prostornog uređenja i graditeljstva za  unutarnje i vanjsko uređenje doma Berak i kupovinu traktora za održavanje javnih površina)  - kapitalne pomoći iz županijskog proračuna u iznosu od 13.950,00 eura (namještaj za dom Berak) - tekuće pomoći od HZZ-a u iznosu od 21.247,79 eura (za program javnih radova) - pomoći od FZOEU u iznosu od 257.354,70 eura (SECAP - sadnice, edukacija stanovništva – gospodarenje otpadom, izgradnja nadstrešnice i nabava električnih bicikla te postavljenje mjerača čistoće zraka)   - fiskalno izravnanje u iznosu od 256.571,51 eura.  - tekuće pomoći temeljem prijenosa EU sredstava u iznosu od 272.449,25 eura odnose se na pomoći od Ministarstvo rada za provedbu projekta Zaželi i ostani na svom)  - kapitalne pomoći u iznosu od 13.935,90 eura (Agencija za plaćanje -LAG)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(šifre 6111 do 6116 - 6117 - 6119)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269.284,72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228.208,16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84,7</w:t>
            </w:r>
          </w:p>
        </w:tc>
      </w:tr>
    </w:tbl>
    <w:p>
      <w:pPr>
        <w:spacing w:before="0" w:after="0"/>
      </w:pPr>
    </w:p>
    <w:p>
      <w:r>
        <w:t xml:space="preserve">Porez na dohodak je manji u odnosu na prošlu godinu zbog povrata poreza na dohodak.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Porezi na imovinu (šifre 6131 do 6135)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26.643,79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30.640,00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115,0</w:t>
            </w:r>
          </w:p>
        </w:tc>
      </w:tr>
    </w:tbl>
    <w:p>
      <w:pPr>
        <w:spacing w:before="0" w:after="0"/>
      </w:pPr>
    </w:p>
    <w:p>
      <w:r>
        <w:t xml:space="preserve">Porez na imovinu veći je za 15,0% i odnosi se na povećanje porez na promet nekretnina,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Stalni porezi na nepokretnu imovinu (zemlju, zgrade, kuće i ostalo)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1.470,27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866,9</w:t>
            </w:r>
          </w:p>
        </w:tc>
      </w:tr>
    </w:tbl>
    <w:p>
      <w:pPr>
        <w:spacing w:before="0" w:after="0"/>
      </w:pPr>
    </w:p>
    <w:p>
      <w:r>
        <w:t xml:space="preserve">Stalni porezi na nepokretnu imovinu su znatno povećani u odnosu na prošlu godinu zbog uvedenog poreza na drugu nekretninu.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Povremeni porezi na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26.474,19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29.169,73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110,2</w:t>
            </w:r>
          </w:p>
        </w:tc>
      </w:tr>
    </w:tbl>
    <w:p>
      <w:pPr>
        <w:spacing w:before="0" w:after="0"/>
      </w:pPr>
    </w:p>
    <w:p>
      <w:r>
        <w:t xml:space="preserve">Porez na imovinu veći je za 10,2% i odnosi se na porez na promet nekretnina.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Porezi na robu i usluge (šifre 6141 do 61476148)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584,09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840,16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143,8</w:t>
            </w:r>
          </w:p>
        </w:tc>
      </w:tr>
    </w:tbl>
    <w:p>
      <w:pPr>
        <w:spacing w:before="0" w:after="0"/>
      </w:pPr>
    </w:p>
    <w:p>
      <w:r>
        <w:t xml:space="preserve">Porez na robu i usluge veći je u odnosu na isto razdoblje prošle godine za 43,8 % odnosi se na porez na potrošnju alkoholnih i bezalkoholnih pića.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302.756,46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102.676,43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33,9</w:t>
            </w:r>
          </w:p>
        </w:tc>
      </w:tr>
    </w:tbl>
    <w:p>
      <w:pPr>
        <w:spacing w:before="0" w:after="0"/>
      </w:pPr>
    </w:p>
    <w:p>
      <w:r>
        <w:t xml:space="preserve">Tekuće pomoći proračunu i izvanproračunskim korisnicima iz drugih proračuna izvršeni su samo 33,9% u odnosu na isto razdoblje prošle godine iz razloga što su pomoći fiskalnog izravnanja ove godine knjižene na konto 6352.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izvanproračunskih korisnika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12.223,20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21.247,79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173,8</w:t>
            </w:r>
          </w:p>
        </w:tc>
      </w:tr>
    </w:tbl>
    <w:p>
      <w:pPr>
        <w:spacing w:before="0" w:after="0"/>
      </w:pPr>
    </w:p>
    <w:p>
      <w:r>
        <w:t xml:space="preserve">Tekuće pomoći od izvanproračunskih korisnika veće su za 73,8% odnose se na pomoći od HZZ-a za upošljavanje djelatnika javnih radova.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od izvanproračunskih korisnika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144.043,63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257.354,70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178,7</w:t>
            </w:r>
          </w:p>
        </w:tc>
      </w:tr>
    </w:tbl>
    <w:p>
      <w:pPr>
        <w:spacing w:before="0" w:after="0"/>
      </w:pPr>
    </w:p>
    <w:p>
      <w:r>
        <w:t xml:space="preserve">Odnosi se na pomoći FZOEU za provedbene mjere prilagodbe klimatskim promjenama SECAP. Edukaciju stanovništva – gospodarenje otpadom, izgradnju nadstrešnice i nabavu električnih bicikla te postavljenje mjerača čistoće zraka)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fiskalnog izravnanja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256.571,51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Odnose se na pomoći  fiskalnog izravnanja iz državnog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209.981,22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272.449,25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129,7</w:t>
            </w:r>
          </w:p>
        </w:tc>
      </w:tr>
    </w:tbl>
    <w:p>
      <w:pPr>
        <w:spacing w:before="0" w:after="0"/>
      </w:pPr>
    </w:p>
    <w:p>
      <w:r>
        <w:t xml:space="preserve">Tekuće pomoći temeljem prijenosa EU sredstava odnose se na pomoći Ministarstva rada, mirovinskog sustava, obitelji i socijalne politike za rad djelatnika na Projektu Zaželi i ostani na svom.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13.935,89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13.935,90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100,0</w:t>
            </w:r>
          </w:p>
        </w:tc>
      </w:tr>
    </w:tbl>
    <w:p>
      <w:pPr>
        <w:spacing w:before="0" w:after="0"/>
      </w:pPr>
    </w:p>
    <w:p>
      <w:r>
        <w:t xml:space="preserve">Kapitalne pomoći temeljem prijenosa EU sredstava odnose se na pomoći Agencije za plaćanje u poljoprivredi (LAG Srijem).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koncesije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22.569,21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25.419,36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112,6</w:t>
            </w:r>
          </w:p>
        </w:tc>
      </w:tr>
    </w:tbl>
    <w:p>
      <w:pPr>
        <w:spacing w:before="0" w:after="0"/>
      </w:pPr>
    </w:p>
    <w:p>
      <w:r>
        <w:t xml:space="preserve">Naknada za koncesije povećane su 12,6% u odnosu na prošlu godinu zbog povećane koncesijske naknade po Ugovoru.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zakupa i iznajmljivanja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96.363,12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98.364,66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102,1</w:t>
            </w:r>
          </w:p>
        </w:tc>
      </w:tr>
    </w:tbl>
    <w:p>
      <w:pPr>
        <w:spacing w:before="0" w:after="0"/>
      </w:pPr>
    </w:p>
    <w:p>
      <w:r>
        <w:t xml:space="preserve"> </w:t>
      </w:r>
    </w:p>
    <w:p>
      <w:r>
        <w:t xml:space="preserve">Prihodi od zakupa i iznajmljivanja imovine veći su za 2,1% odnose se na zakup poslovnog prostora, zakup poljoprivrednog zemljišta u vlasništvu RH.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Naknada za korištenje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177.948,64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298.980,72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168,0</w:t>
            </w:r>
          </w:p>
        </w:tc>
      </w:tr>
    </w:tbl>
    <w:p>
      <w:pPr>
        <w:spacing w:before="0" w:after="0"/>
      </w:pPr>
    </w:p>
    <w:p>
      <w:r>
        <w:t xml:space="preserve">Naknada za korištenje financijske imovine je novi prihod veći je u odnosu na predhodnu godinu za 68,0%, odnosi se na naknadu za eksploataciju minerala.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prihodi od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699,2</w:t>
            </w:r>
          </w:p>
        </w:tc>
      </w:tr>
    </w:tbl>
    <w:p>
      <w:pPr>
        <w:spacing w:before="0" w:after="0"/>
      </w:pPr>
    </w:p>
    <w:p>
      <w:r>
        <w:t xml:space="preserve">Ostali prihodi od nefinancijske imovine veći su za 599,2% a odnose se na naknadu za nezakonito izgrađenu zgradu (legalizacija)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Županijske, gradske i općinske 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18.151,31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20.276,32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111,7</w:t>
            </w:r>
          </w:p>
        </w:tc>
      </w:tr>
    </w:tbl>
    <w:p>
      <w:pPr>
        <w:spacing w:before="0" w:after="0"/>
      </w:pPr>
    </w:p>
    <w:p>
      <w:r>
        <w:t xml:space="preserve">Odlukom Općinskog Vijeća Općine Tompojevci došlo je do povećanja visine grobne naknade i iz tog razloga je došlo do povećanja za 11,7% u odnosu na prošli period.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šume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16.849,86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212.750,14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1262,6</w:t>
            </w:r>
          </w:p>
        </w:tc>
      </w:tr>
    </w:tbl>
    <w:p>
      <w:pPr>
        <w:spacing w:before="0" w:after="0"/>
      </w:pPr>
    </w:p>
    <w:p>
      <w:r>
        <w:t xml:space="preserve">Doprinos za šume znatno je povećan iz razloga što je plaćen šumski doprinos - dug iz 2023. i 2024.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2.490,41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18,7</w:t>
            </w:r>
          </w:p>
        </w:tc>
      </w:tr>
    </w:tbl>
    <w:p>
      <w:pPr>
        <w:spacing w:before="0" w:after="0"/>
      </w:pPr>
    </w:p>
    <w:p>
      <w:r>
        <w:t xml:space="preserve">Ostali nespomenuti prihodi odnose se na povrat u općinski proračun.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375,5</w:t>
            </w:r>
          </w:p>
        </w:tc>
      </w:tr>
    </w:tbl>
    <w:p>
      <w:pPr>
        <w:spacing w:before="0" w:after="0"/>
      </w:pPr>
    </w:p>
    <w:p>
      <w:r>
        <w:t xml:space="preserve">Ostali prihodi odnose se na novčane kazne od fizičke osobe zbog ne održavanja javne površine ispred objekata u njihovom vlasništvu i javno bilježničke naknade za troškove ovrhe.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978.287,28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1.556.491,92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159,1</w:t>
            </w:r>
          </w:p>
        </w:tc>
      </w:tr>
    </w:tbl>
    <w:p>
      <w:pPr>
        <w:spacing w:before="0" w:after="0"/>
      </w:pPr>
    </w:p>
    <w:p>
      <w:r>
        <w:t xml:space="preserve">Rashodi poslovanja   iznose 1.556.491,92 eura, veći su  za 59,1 % u odnosu na isto razdoblje prethodne godine, odnose se na:  - rashodi za zaposlene (šifra 31) iznose 551.586,48 eura  - materijalni rashodi (šifra 32) iznose 723508,74 eura  - financijski rashodi (šifra 34) iznose 6.382,69 eura    - pomoći dane u inozemstvo i unutar općeg proračuna (šifra 36) iznose 114.267,22 eura,    - naknade građanima i kućanstvima (šifra 37) iznose 67.550,97 eura   - ostali rashodi (šifra 38) -   tekuće donacije u iznosu od 93.195,82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370.190,57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551.586,48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149,0</w:t>
            </w:r>
          </w:p>
        </w:tc>
      </w:tr>
    </w:tbl>
    <w:p>
      <w:pPr>
        <w:spacing w:before="0" w:after="0"/>
      </w:pPr>
    </w:p>
    <w:p>
      <w:r>
        <w:t xml:space="preserve">Rashodi za zaposlene  veći su za 49,0% u odnosu na isto razdoblje prošle godine zbog  povećanja bruto plaće dužnosnika i djelatnike JUO, uposlenih djelatnike na projektu Zaželi i ostani na svom kao i djelatnike u javnom radu i isplate neoporezivog primanja povodom Uskrsa,  isplaćen regres i Božićnice.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2.405,00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16.488,66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685,6</w:t>
            </w:r>
          </w:p>
        </w:tc>
      </w:tr>
    </w:tbl>
    <w:p>
      <w:pPr>
        <w:spacing w:before="0" w:after="0"/>
      </w:pPr>
    </w:p>
    <w:p>
      <w:r>
        <w:t xml:space="preserve">Stručno usavršavanje zaposlenika odnosi se jednim djelom na djelatnike, a drugi dio od 10.012,50 eura na edukaciju građana za pravilno razdvajanje komunalnog otpada.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158,4</w:t>
            </w:r>
          </w:p>
        </w:tc>
      </w:tr>
    </w:tbl>
    <w:p>
      <w:pPr>
        <w:spacing w:before="0" w:after="0"/>
      </w:pPr>
    </w:p>
    <w:p>
      <w:r>
        <w:t xml:space="preserve">Ostale naknade troškova zaposlenima veće su 58,4% - odnose se na isplatu naknada za korištenje privatnog automobila u službene svrhe djelatnicima Projekta Zaželi i ostani na svom i djelatnija JUO.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1.510,60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184.500,47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Materijal i sirovine povećane su u odnosu na isto razdoblje prošle godine zbog kupovine sadnica za sva naselja Općine Tompojevci za provedbene mjere prilagodbe klimatskim promjenama.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31.308,78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37.727,71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120,5</w:t>
            </w:r>
          </w:p>
        </w:tc>
      </w:tr>
    </w:tbl>
    <w:p>
      <w:pPr>
        <w:spacing w:before="0" w:after="0"/>
      </w:pPr>
    </w:p>
    <w:p>
      <w:r>
        <w:t xml:space="preserve"> </w:t>
      </w:r>
    </w:p>
    <w:p>
      <w:r>
        <w:t xml:space="preserve">Troškovi energije povećani su za 22,8% u odnosu na isto razdoblje prošle godine zbog povećanja cijene energentima.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977,87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2.973,80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304,1</w:t>
            </w:r>
          </w:p>
        </w:tc>
      </w:tr>
    </w:tbl>
    <w:p>
      <w:pPr>
        <w:spacing w:before="0" w:after="0"/>
      </w:pPr>
    </w:p>
    <w:p>
      <w:r>
        <w:t xml:space="preserve">Materijal i dijelovi za tekuće i investicijsko održavanje odnose se na održavanje građevine po mjesnim odborima i opreme za javne radove.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2.324,58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5.512,50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237,1</w:t>
            </w:r>
          </w:p>
        </w:tc>
      </w:tr>
    </w:tbl>
    <w:p>
      <w:pPr>
        <w:spacing w:before="0" w:after="0"/>
      </w:pPr>
    </w:p>
    <w:p>
      <w:r>
        <w:t xml:space="preserve">Sitan inventar povećan je za 137,1% zbog opremanja dječjeg vrtića u Tompojevcima.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5.502,23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9.717,73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176,6</w:t>
            </w:r>
          </w:p>
        </w:tc>
      </w:tr>
    </w:tbl>
    <w:p>
      <w:pPr>
        <w:spacing w:before="0" w:after="0"/>
      </w:pPr>
    </w:p>
    <w:p>
      <w:r>
        <w:t xml:space="preserve">Usluge telefona, interneta, pošte i prijevoza povećane su 76,6% zbog postavljanja električnih bicikla za koje je potreban Internet radi njihovog korištenja, kao i slanja opomena i ostale redovne pošte.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37.351,66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74.815,15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200,3</w:t>
            </w:r>
          </w:p>
        </w:tc>
      </w:tr>
    </w:tbl>
    <w:p>
      <w:pPr>
        <w:spacing w:before="0" w:after="0"/>
      </w:pPr>
    </w:p>
    <w:p>
      <w:r>
        <w:t xml:space="preserve">Usluge tekućeg i investicijskog održavanja veće su za 100,3% odnose se uglavnom na održavanje građevinskih objekata po naseljima Općine, održavanje postrojenja i opreme, održavanje službenih automobila.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149.602,24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177.603,19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118,7</w:t>
            </w:r>
          </w:p>
        </w:tc>
      </w:tr>
    </w:tbl>
    <w:p>
      <w:pPr>
        <w:spacing w:before="0" w:after="0"/>
      </w:pPr>
    </w:p>
    <w:p>
      <w:r>
        <w:t xml:space="preserve">Komunalne usluge veće su za 18,7% u odnosu na isto razdoblje prošle godine zbog povećane potrošnje vode, sufinanciranje odvoza komunalnog otpada koncesionaru.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2.025,35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830,8</w:t>
            </w:r>
          </w:p>
        </w:tc>
      </w:tr>
    </w:tbl>
    <w:p>
      <w:pPr>
        <w:spacing w:before="0" w:after="0"/>
      </w:pPr>
    </w:p>
    <w:p>
      <w:r>
        <w:t xml:space="preserve">Zdravstvene i veterinarske usluge odnose se na zbrinjavanje i liječenje pasa lutalica, te odvoz uginule stoke.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18.483,90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33.954,46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183,7</w:t>
            </w:r>
          </w:p>
        </w:tc>
      </w:tr>
    </w:tbl>
    <w:p>
      <w:pPr>
        <w:spacing w:before="0" w:after="0"/>
      </w:pPr>
    </w:p>
    <w:p>
      <w:r>
        <w:t xml:space="preserve">Intelektualne i osobne usluge povećane su za 83,7% u odnosu na prošlo razdoblje zbog povećanja cijene odvjetničkih usluga, geodetsko katastarske usluge, te izrade procjembenih elaborata.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17.568,35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33.501,64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190,7</w:t>
            </w:r>
          </w:p>
        </w:tc>
      </w:tr>
    </w:tbl>
    <w:p>
      <w:pPr>
        <w:spacing w:before="0" w:after="0"/>
      </w:pPr>
    </w:p>
    <w:p>
      <w:r>
        <w:t xml:space="preserve">Naknade za rad predstavničkih i izvršnih tijela, povjerenstva i sl. povećali su se zbog održanih lokalnih izbora i dopunskih izbora.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4.835,82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5.798,46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119,9</w:t>
            </w:r>
          </w:p>
        </w:tc>
      </w:tr>
    </w:tbl>
    <w:p>
      <w:pPr>
        <w:spacing w:before="0" w:after="0"/>
      </w:pPr>
    </w:p>
    <w:p>
      <w:r>
        <w:t xml:space="preserve">Premija osiguranja- povećali su se za 19,9% zbog kasko osiguranja za novo nabavljen automobil.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16.932,56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19.888,61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117,5</w:t>
            </w:r>
          </w:p>
        </w:tc>
      </w:tr>
    </w:tbl>
    <w:p>
      <w:pPr>
        <w:spacing w:before="0" w:after="0"/>
      </w:pPr>
    </w:p>
    <w:p>
      <w:r>
        <w:t xml:space="preserve">Reprezentacija - došlo je do povećanja kod održavanja Dana Općine Tompojevci i božićnog domjenka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drugom proračunu i izvanproračunskim korisnicima (šifre 3631 do 3636)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22.361,98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114.267,22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511,0</w:t>
            </w:r>
          </w:p>
        </w:tc>
      </w:tr>
    </w:tbl>
    <w:p>
      <w:pPr>
        <w:spacing w:before="0" w:after="0"/>
      </w:pPr>
    </w:p>
    <w:p>
      <w:r>
        <w:t xml:space="preserve">Pomoći drugom proračunu i izvanprorčunskom korisnicima odnose se na prebacivanje sredstava za financiranje Razvojne agencije TINTL zajedničkog proračunskog korisnika i sredstva za sufinanciranje izgradnje ceste Čakovci –Mikluševci i parkiralište na GKG Mikluševci (ŽUC).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52.255,60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67.550,97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129,3</w:t>
            </w:r>
          </w:p>
        </w:tc>
      </w:tr>
    </w:tbl>
    <w:p>
      <w:pPr>
        <w:spacing w:before="0" w:after="0"/>
      </w:pPr>
    </w:p>
    <w:p>
      <w:r>
        <w:t xml:space="preserve">Ostale naknade građanima i kućanstvima iz proračuna povećane su za 29,3% odnose se na naknade za troškove stanovanja socijalno ugroženih osoba, isplatu uskrsnice i božićnice umirovljenicima, isplate porodiljne naknade, paketiće povodom Božića za djecu od 1. godine do 15. godina, sufinanciranje jaslica, sufinanciranje prijevoza putnika, mjesečne karte učenicima srednjih škola i sl.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76.980,78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93.195,82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121,1</w:t>
            </w:r>
          </w:p>
        </w:tc>
      </w:tr>
    </w:tbl>
    <w:p>
      <w:pPr>
        <w:spacing w:before="0" w:after="0"/>
      </w:pPr>
    </w:p>
    <w:p>
      <w:r>
        <w:t xml:space="preserve">Rashodi za donacije veće su 21,1% zbog sufinanciranja kupovine kombi vozila udrugi ŠK.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891.607,35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937.273,07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105,1</w:t>
            </w:r>
          </w:p>
        </w:tc>
      </w:tr>
    </w:tbl>
    <w:p>
      <w:pPr>
        <w:spacing w:before="0" w:after="0"/>
      </w:pPr>
    </w:p>
    <w:p>
      <w:r>
        <w:t xml:space="preserve">Višak prihoda poslovanja iznosi 937.273,01 eura kojim će se pokriti dio  rashoda za nabavu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245.624,39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152.919,38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62,3</w:t>
            </w:r>
          </w:p>
        </w:tc>
      </w:tr>
    </w:tbl>
    <w:p>
      <w:pPr>
        <w:spacing w:before="0" w:after="0"/>
      </w:pPr>
    </w:p>
    <w:p>
      <w:r>
        <w:t xml:space="preserve">Obračunati prihodi poslovanja – nenaplaćeni iznos odnosi se na potraživanja za šumski doprinos, komunalnu naknadu, grobnu naknadu, prihod od zakupa poljoprivrednog zemljišta,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33.324,76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15.603,38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46,8</w:t>
            </w:r>
          </w:p>
        </w:tc>
      </w:tr>
    </w:tbl>
    <w:p>
      <w:pPr>
        <w:spacing w:before="0" w:after="0"/>
      </w:pPr>
    </w:p>
    <w:p>
      <w:r>
        <w:t xml:space="preserve">Odnosi se  na uplate rate za kupovinu poljoprivrednog zemljišta  u vl. RH.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materijalne imovine - prirodnih bogatstava (šifre 7111 do 7113)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23.460,26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15.603,38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66,5</w:t>
            </w:r>
          </w:p>
        </w:tc>
      </w:tr>
    </w:tbl>
    <w:p>
      <w:pPr>
        <w:spacing w:before="0" w:after="0"/>
      </w:pPr>
    </w:p>
    <w:p>
      <w:r>
        <w:t xml:space="preserve">Odnosi se  na uplate rate za kupovinu poljoprivrednog zemljišta  u vl. RH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Zemljište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23.460,26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15.603,38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66,5</w:t>
            </w:r>
          </w:p>
        </w:tc>
      </w:tr>
    </w:tbl>
    <w:p>
      <w:pPr>
        <w:spacing w:before="0" w:after="0"/>
      </w:pPr>
    </w:p>
    <w:p>
      <w:r>
        <w:t xml:space="preserve">Odnosi se  na uplate rate za kupovinu poljoprivrednog zemljišta  u vl. RH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958.527,71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946.454,80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98,7</w:t>
            </w:r>
          </w:p>
        </w:tc>
      </w:tr>
    </w:tbl>
    <w:p>
      <w:pPr>
        <w:spacing w:before="0" w:after="0"/>
      </w:pPr>
    </w:p>
    <w:p>
      <w:r>
        <w:t xml:space="preserve">Rashodi za nabavu nefinancijske imovine (šifra 4) u iznosu od 976.454,80 eura odnose se na izgradnju dječjeg vrtića u Tompojevcima, oprema za dječji vrtić Tompojevci izradu projektne dokumentacije za dječje igralište Bokšić, postavljanje dječjeg igrališta Bokšić, izrada i dopuna Prostornog plana općine Tompojevci , izradu projektne dokumentacije za vatrogasni dom Bokšić, plan rasvjete, troškovnik za dodatna ulaganja u dom Berak i ulaganje u isti, kupovinu traktora i kosilice za javne radove, nabavu javnih električnih bicikla, sustav za mjerenje čistoće zraka, nabava namještaja za dom Berak, ugradnja klima uređaja u lovački dom Berak i Tompojevci, dom kulture Čakovci, kupovinu službenog automobila, izrade projektne dokumentacije za nove projekte i dr.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379.248,37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339.151,33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89,4</w:t>
            </w:r>
          </w:p>
        </w:tc>
      </w:tr>
    </w:tbl>
    <w:p>
      <w:pPr>
        <w:spacing w:before="0" w:after="0"/>
      </w:pPr>
    </w:p>
    <w:p>
      <w:r>
        <w:t xml:space="preserve">Poslovni objekti  odnosi se na dovršetak zgrade dječjeg vrtića Tompojevci čija je gradnja počela 2023.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17.066,25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84.986,25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498,0</w:t>
            </w:r>
          </w:p>
        </w:tc>
      </w:tr>
    </w:tbl>
    <w:p>
      <w:pPr>
        <w:spacing w:before="0" w:after="0"/>
      </w:pPr>
    </w:p>
    <w:p>
      <w:r>
        <w:t xml:space="preserve">Uredska oprema i namještaj veći su za 398,0% odnosi se na opremanje dječjeg vrtića u Tompojevcima, nabava namještaja za dom Berak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83.717,50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12.098,93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14,5</w:t>
            </w:r>
          </w:p>
        </w:tc>
      </w:tr>
    </w:tbl>
    <w:p>
      <w:pPr>
        <w:spacing w:before="0" w:after="0"/>
      </w:pPr>
    </w:p>
    <w:p>
      <w:r>
        <w:t xml:space="preserve">Oprema za održavanje i zaštitu manja su za 82,4% u odnosu na isto razdoblje prošle godine iz razloga što se prošle godine nabavljale kante za papir i plastiku za stanovništvo s područja  općine.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16.372,35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76.443,75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466,9</w:t>
            </w:r>
          </w:p>
        </w:tc>
      </w:tr>
    </w:tbl>
    <w:p>
      <w:pPr>
        <w:spacing w:before="0" w:after="0"/>
      </w:pPr>
    </w:p>
    <w:p>
      <w:r>
        <w:t xml:space="preserve">Uređaji, strojevi i oprema za ostale namjene veće su za 366,9% u odnosu na isto razdoblje prošle godine iz razloga što su nabavljeni električni bicikli i za iste postavljena  nadstrešnica, ugrađen sustav za mjerenje čistoće zraka, kupljena rotacijska kosilica za održavanje javnih površina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1.746,80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104.120,68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5960,7</w:t>
            </w:r>
          </w:p>
        </w:tc>
      </w:tr>
    </w:tbl>
    <w:p>
      <w:pPr>
        <w:spacing w:before="0" w:after="0"/>
      </w:pPr>
    </w:p>
    <w:p>
      <w:r>
        <w:t xml:space="preserve">Prijevozna sredstva u cestovnom prometu povećani su zbog kupovine službenog automobila i traktora za održavanje javnih površina.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Ulaganja u računalne programe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32.588,56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2.898,12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8,9</w:t>
            </w:r>
          </w:p>
        </w:tc>
      </w:tr>
    </w:tbl>
    <w:p>
      <w:pPr>
        <w:spacing w:before="0" w:after="0"/>
      </w:pPr>
    </w:p>
    <w:p>
      <w:r>
        <w:t xml:space="preserve">Ulaganja u računalne program znatno su manja u odnosu na isto razdoblje prošle godine iz razloga što se prošle godine ulagalo u elektroničko uredsko poslovanje.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21.753,76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124.151,91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570,7</w:t>
            </w:r>
          </w:p>
        </w:tc>
      </w:tr>
    </w:tbl>
    <w:p>
      <w:pPr>
        <w:spacing w:before="0" w:after="0"/>
      </w:pPr>
    </w:p>
    <w:p>
      <w:r>
        <w:t xml:space="preserve">Dodatna ulaganja  su povećana u odnosu na prethodni period  zbog dodatnih ulaganja u dom kulture Berak.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925.202,95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930.851,42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100,6</w:t>
            </w:r>
          </w:p>
        </w:tc>
      </w:tr>
    </w:tbl>
    <w:p>
      <w:pPr>
        <w:spacing w:before="0" w:after="0"/>
      </w:pPr>
    </w:p>
    <w:p>
      <w:r>
        <w:t xml:space="preserve">Prihodi od prodaje nefinancijske imovine iznose 15.603,38 eura, a rashodi za nabavu nefinancijske imovine iznose 946.454,80 eura. Nastao je manjak prihoda od nefinancijske imovine od 930.851,42 eura koji je  pokriven iz viška prihoda poslovanja.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od prodaje nefinancijske imovine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27.020,97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3.229,36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12,0</w:t>
            </w:r>
          </w:p>
        </w:tc>
      </w:tr>
    </w:tbl>
    <w:p>
      <w:pPr>
        <w:spacing w:before="0" w:after="0"/>
      </w:pPr>
    </w:p>
    <w:p>
      <w:r>
        <w:t xml:space="preserve">Obračunati prihodi od nefinancijske imovine - nenaplaćeni odnose se na dužika po kupoprodajnom ugovoru za kupovinu poljoprivrednog zemljišta u vl. RH.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raspoloživ u sljedećem razdoblju (šifre X005 + '9221-9222' - Y005 - '9222-9221')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37.331,84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44.478,52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119,1</w:t>
            </w:r>
          </w:p>
        </w:tc>
      </w:tr>
    </w:tbl>
    <w:p>
      <w:pPr>
        <w:spacing w:before="0" w:after="0"/>
      </w:pPr>
    </w:p>
    <w:p>
      <w:r>
        <w:t xml:space="preserve">Višak prihoda raspoloživ u slijedećem razdoblju iznosi 44.478,52 eura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5.224.922,00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6.014.352,21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115,1</w:t>
            </w:r>
          </w:p>
        </w:tc>
      </w:tr>
    </w:tbl>
    <w:p>
      <w:pPr>
        <w:spacing w:before="0" w:after="0"/>
      </w:pPr>
    </w:p>
    <w:p>
      <w:r>
        <w:t xml:space="preserve">Ukupna vrijednost  imovine  (šifra B002 )  promijenila se (povećala) na dan 31. prosinca 2025. godine  u odnosu na stanje 01.siječnja 2025. godine za 15,1%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Stambeni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251.584,34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260.684,34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103,6</w:t>
            </w:r>
          </w:p>
        </w:tc>
      </w:tr>
    </w:tbl>
    <w:p>
      <w:pPr>
        <w:spacing w:before="0" w:after="0"/>
      </w:pPr>
    </w:p>
    <w:p>
      <w:r>
        <w:t xml:space="preserve">Stambeni objekti povećani su za 3,6% iz razloga što je kupljena stara kuća zbog placa za izgradnju stambene zgrade.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2.490.481,32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2.663.545,46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106,9</w:t>
            </w:r>
          </w:p>
        </w:tc>
      </w:tr>
    </w:tbl>
    <w:p>
      <w:pPr>
        <w:spacing w:before="0" w:after="0"/>
      </w:pPr>
    </w:p>
    <w:p>
      <w:r>
        <w:t xml:space="preserve">Na poziciji poslovni objekti došlo je do povećanja zbog darovnog ugovora Vukovarsko srijemske županije koja je općini darivala zgradu područne škole Bokšić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164.287,73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206.048,98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125,4</w:t>
            </w:r>
          </w:p>
        </w:tc>
      </w:tr>
    </w:tbl>
    <w:p>
      <w:pPr>
        <w:spacing w:before="0" w:after="0"/>
      </w:pPr>
    </w:p>
    <w:p>
      <w:r>
        <w:t xml:space="preserve">Uredska oprema i namještaj odnosi se na kupovinu namještaja za opremanje  dječjeg vrtića i opremanje doma kulture Berak.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111.784,02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116.794,20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104,5</w:t>
            </w:r>
          </w:p>
        </w:tc>
      </w:tr>
    </w:tbl>
    <w:p>
      <w:pPr>
        <w:spacing w:before="0" w:after="0"/>
      </w:pPr>
    </w:p>
    <w:p>
      <w:r>
        <w:t xml:space="preserve">Oprema za održavanje i zaštitu odnosi se na , nabavu opreme za hlađenje  u domovima Čakovci i lovački dom Tompojevci, te postavljanje video nadzora na PG Berak i na zgradu dječjeg vrtića.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121.374,87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159.455,89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131,4</w:t>
            </w:r>
          </w:p>
        </w:tc>
      </w:tr>
    </w:tbl>
    <w:p>
      <w:pPr>
        <w:spacing w:before="0" w:after="0"/>
      </w:pPr>
    </w:p>
    <w:p>
      <w:r>
        <w:t xml:space="preserve">Sportska, glazbena oprema do povećanja je došlo zbog izgradnje i postavljanja dječjeg igrališta u Bokšiću i sprave na dječjem igralištu Tompojevci.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128.870,84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213.368,32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165,6</w:t>
            </w:r>
          </w:p>
        </w:tc>
      </w:tr>
    </w:tbl>
    <w:p>
      <w:pPr>
        <w:spacing w:before="0" w:after="0"/>
      </w:pPr>
    </w:p>
    <w:p>
      <w:r>
        <w:t xml:space="preserve">Uređaji, strojevi i oprema za ostale namjene - povećanje se odnosi na kupovinu traktorske kosilice za održavanje javnih površina,  oprema sustava za kontrolu kvalitete zraka, električni biciklovi, te ostala oprema za dječji vrtić.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28.419,94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157.940,62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555,7</w:t>
            </w:r>
          </w:p>
        </w:tc>
      </w:tr>
    </w:tbl>
    <w:p>
      <w:pPr>
        <w:spacing w:before="0" w:after="0"/>
      </w:pPr>
    </w:p>
    <w:p>
      <w:r>
        <w:t xml:space="preserve">Prijevozna sredstva u cestovnom prometu odnosi se na kupovinu  službenog automobila i traktora za održavanje javnih površina.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nematerijalna proizvedena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225.698,34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266.798,34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118,2</w:t>
            </w:r>
          </w:p>
        </w:tc>
      </w:tr>
    </w:tbl>
    <w:p>
      <w:pPr>
        <w:spacing w:before="0" w:after="0"/>
      </w:pPr>
    </w:p>
    <w:p>
      <w:r>
        <w:t xml:space="preserve">Ostala nematerijalna proizvedena imovina do povećanja je došlo zbog izrade projektne dokumentacije za Plan rasvjete Općine Tompojevcim, Akcijski plan gradnje/rekonstrukciju vanjske rasvjete, Strategija zelene urbane obnove Općine Tompojevci, Strategija razvoja pametne općine i izmjene i dopune prostornog plana Općine Tompojevci.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u pripremi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394.533,08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834.193,73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211,4</w:t>
            </w:r>
          </w:p>
        </w:tc>
      </w:tr>
    </w:tbl>
    <w:p>
      <w:pPr>
        <w:spacing w:before="0" w:after="0"/>
      </w:pPr>
    </w:p>
    <w:p>
      <w:r>
        <w:t xml:space="preserve">Građevinski objekti u pripremi odnose se na izgradnju dječjeg vrtića u Tompojevcima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instrumenti - dionice i udjeli u glavnici (šifre 15X1+15X2-159)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141.888,48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141.888,48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Udio u glavnici trgovačkog društva u javnom sektoru odnosi se na:</w:t>
      </w:r>
    </w:p>
    <w:p>
      <w:r>
        <w:t xml:space="preserve">-Vodovod grada Vukovara d.o.o. u iznosu od 135.695,79 eura</w:t>
      </w:r>
    </w:p>
    <w:p>
      <w:r>
        <w:t xml:space="preserve">-VTV Vinkovci u iznosu od 5.972,54 eura </w:t>
      </w:r>
    </w:p>
    <w:p>
      <w:r>
        <w:t xml:space="preserve">-Udio od 220,15 eura odnosi se na naslijeđene braniteljske dionice.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245.624,40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152.919,38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62,3</w:t>
            </w:r>
          </w:p>
        </w:tc>
      </w:tr>
    </w:tbl>
    <w:p>
      <w:pPr>
        <w:spacing w:before="0" w:after="0"/>
      </w:pPr>
    </w:p>
    <w:p>
      <w:r>
        <w:t xml:space="preserve">Potraživanja - odnose se na: potraživanja za poreze,  potraživanja za pravo služnosti, dane koncesije, potraživanja od zakupa poljoprivrednog zemljišta u vl. RH i za općinsku zemlju, naknade po odluci vijeća za iznajmljivanje sale, grobnu naknadu, kupovinu grobnog mjesta, šumski doprinos, komunalnu naknadu, potraživanja po sudskoj presudi i ostale prihode. Za ista je napravljen ispravak vrijednosti potraživanja.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>
      <w:r>
        <w:t xml:space="preserve">Potraživanja za poreze                                                                      3.476,05</w:t>
      </w:r>
    </w:p>
    <w:p>
      <w:r>
        <w:t xml:space="preserve">Potraživanja za pomoći EU (ZNS 7)                                                 83.347,38</w:t>
      </w:r>
    </w:p>
    <w:p>
      <w:r>
        <w:t xml:space="preserve">Potraživanja za pravo služnosti                                                         1.016,35 </w:t>
      </w:r>
    </w:p>
    <w:p>
      <w:r>
        <w:t xml:space="preserve">Potraživanja za dane koncesije                                                          5.627,92</w:t>
      </w:r>
    </w:p>
    <w:p>
      <w:r>
        <w:t xml:space="preserve">Potraživanja za zakup poljoprivrednog zemljišta                             25.011,41</w:t>
      </w:r>
    </w:p>
    <w:p>
      <w:r>
        <w:t xml:space="preserve">Potraživanja za zakup zemlje u vl. Općine                                         5.329,37</w:t>
      </w:r>
    </w:p>
    <w:p>
      <w:r>
        <w:t xml:space="preserve">Potraživanja za naknade po općinskoj odluci- grobna naknada        3.446,33</w:t>
      </w:r>
    </w:p>
    <w:p>
      <w:r>
        <w:t xml:space="preserve">Potraživanja za naknade po općinskoj odluci-najam sale                       99,87</w:t>
      </w:r>
    </w:p>
    <w:p>
      <w:r>
        <w:t xml:space="preserve">Potraživanja za izgradnju, obnovu spomenika                                      113,09</w:t>
      </w:r>
    </w:p>
    <w:p>
      <w:r>
        <w:t xml:space="preserve">Potraživanja za naknade po općinskoj odluci-grobno mjesto                 50,00</w:t>
      </w:r>
    </w:p>
    <w:p>
      <w:r>
        <w:t xml:space="preserve">Potraživanja za šumski doprinos                                                         9.151,66      </w:t>
      </w:r>
    </w:p>
    <w:p>
      <w:r>
        <w:t xml:space="preserve">Potraživanja za ostale nespomenute prihode                                        443,29</w:t>
      </w:r>
    </w:p>
    <w:p>
      <w:r>
        <w:t xml:space="preserve">Potraživanja za komunalnu naknadu                                                 10.962,99</w:t>
      </w:r>
    </w:p>
    <w:p>
      <w:r>
        <w:t xml:space="preserve">Ostala potraživanja –sudska presuda                                                13.413,29       </w:t>
      </w:r>
    </w:p>
    <w:p>
      <w:r>
        <w:t xml:space="preserve">Potraživanja za ostale prihode                                                                324,20</w:t>
      </w:r>
    </w:p>
    <w:p>
      <w:r>
        <w:t xml:space="preserve">Ispravak vrijednosti potraživanja                                                         -8.569,62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od prodaje nefinancijske imovine (šifre 171 do 174 - 179)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27.020,96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3.229,36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12,0</w:t>
            </w:r>
          </w:p>
        </w:tc>
      </w:tr>
    </w:tbl>
    <w:p>
      <w:pPr>
        <w:spacing w:before="0" w:after="0"/>
      </w:pPr>
    </w:p>
    <w:p>
      <w:r>
        <w:t xml:space="preserve">Potraživanja od nefinancijske imovine  odnose se na prihode od prodaje poljoprivrednog zemljišta u vlasništvu RH u iznosu od 3.229,36 eura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153.585,50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104.581,16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68,1</w:t>
            </w:r>
          </w:p>
        </w:tc>
      </w:tr>
    </w:tbl>
    <w:p>
      <w:pPr>
        <w:spacing w:before="0" w:after="0"/>
      </w:pPr>
    </w:p>
    <w:p>
      <w:r>
        <w:t xml:space="preserve">Obveze  za rashode poslovanja  odnose se na:</w:t>
      </w:r>
    </w:p>
    <w:p>
      <w:r>
        <w:t xml:space="preserve">Obveze za zaposlene                                                    40.648,09</w:t>
      </w:r>
    </w:p>
    <w:p>
      <w:r>
        <w:t xml:space="preserve">Obveze za materijalne rashode                                    31.743,23</w:t>
      </w:r>
    </w:p>
    <w:p>
      <w:r>
        <w:t xml:space="preserve">Obveze za financijske rashode                                            78,02</w:t>
      </w:r>
    </w:p>
    <w:p>
      <w:r>
        <w:t xml:space="preserve">Obveze za naknade građanima i kućanstvima                  866,62</w:t>
      </w:r>
    </w:p>
    <w:p>
      <w:r>
        <w:t xml:space="preserve">Ostale tekuće obveze                                                          17,93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 (šifre 241 do 245)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79.556,69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13.740,89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17,3</w:t>
            </w:r>
          </w:p>
        </w:tc>
      </w:tr>
    </w:tbl>
    <w:p>
      <w:pPr>
        <w:spacing w:before="0" w:after="0"/>
      </w:pPr>
    </w:p>
    <w:p>
      <w:r>
        <w:t xml:space="preserve">Obveze za nabavku nefinancijske imovine odnose se na ulaganje u računalne programe, izradu troškovnika i glavnog projekta krajobraznog elaborata za naselje Berak, dodatna ulaganja za unutarnje i vanjsko uređenje doma Berak i sl.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37.331,84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44.478,52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119,1</w:t>
            </w:r>
          </w:p>
        </w:tc>
      </w:tr>
    </w:tbl>
    <w:p>
      <w:pPr>
        <w:spacing w:before="0" w:after="0"/>
      </w:pPr>
    </w:p>
    <w:p>
      <w:r>
        <w:t xml:space="preserve">Višak prihoda i primitaka raspoloživ u sljedećem razdoblju  iznosi 44.478,52  eur.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1.128.529,35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1.158.984,40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102,7</w:t>
            </w:r>
          </w:p>
        </w:tc>
      </w:tr>
    </w:tbl>
    <w:p>
      <w:pPr>
        <w:spacing w:before="0" w:after="0"/>
      </w:pPr>
    </w:p>
    <w:p>
      <w:r>
        <w:t xml:space="preserve">Izvan bilančni zapisi  odnosi se na dane/vraćene bjanko zadužnice i potraživanja po ugovoru o dodjeljenim bespovratnim sredstvima potpisan sa Ministarstvom rada  za projekt Zaželi i ostani na svom.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58.800,00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218.134,70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371,0</w:t>
            </w:r>
          </w:p>
        </w:tc>
      </w:tr>
    </w:tbl>
    <w:p>
      <w:pPr>
        <w:spacing w:before="0" w:after="0"/>
      </w:pPr>
    </w:p>
    <w:p>
      <w:r>
        <w:t xml:space="preserve">Povećanje proizvedene dugotrajne imovine u iznosu od 58.800,00 eura odnosi se na darovni ugovor Vukovarsko-srijemske županije koji se odnosi na zgradu PŠ Bokšić, a smanjenje proizvedene dugotrajne imovine u iznosu od 218.134,70 eura odnosi se na ispravak vrijednosti.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</w:t>
      </w:r>
    </w:p>
    <w:p>
      <w:r>
        <w:t xml:space="preserve">Stanje dospjelih obveza odnose se na obveze s rokom plaćanja do 31.12. 2025. godine. Obveze se odnose na povrat pogrešno uplaćenih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76.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Unutargrupne transakcije koje su u izvještajima eliminirane</w:t>
      </w:r>
    </w:p>
    <w:p>
      <w:r>
        <w:t xml:space="preserve">Općina nema unutargrupne transakcijekoje su u izvještajima eliminirane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77.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r>
        <w:t xml:space="preserve">Općina nema proračunskog korisnika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b170ae4705495d" /></Relationships>
</file>