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F56E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E1A4470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50C087D4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0527B5B2" w14:textId="77777777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64"/>
          <w:szCs w:val="64"/>
        </w:rPr>
      </w:pPr>
      <w:r w:rsidRPr="002B74A2">
        <w:rPr>
          <w:rFonts w:ascii="Verdana" w:eastAsia="Verdana" w:hAnsi="Verdana" w:cs="Courier New"/>
          <w:b/>
          <w:sz w:val="64"/>
          <w:szCs w:val="64"/>
        </w:rPr>
        <w:t>OPĆINA TOMPOJEVCI</w:t>
      </w:r>
    </w:p>
    <w:p w14:paraId="5F7233CC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3B39F38C" w14:textId="77777777" w:rsidR="00D54569" w:rsidRPr="00BD7D67" w:rsidRDefault="00D54569" w:rsidP="00D54569">
      <w:pPr>
        <w:jc w:val="center"/>
        <w:rPr>
          <w:rFonts w:ascii="Verdana" w:eastAsia="Verdana" w:hAnsi="Verdana" w:cs="Courier New"/>
          <w:b/>
          <w:sz w:val="72"/>
          <w:szCs w:val="72"/>
        </w:rPr>
      </w:pPr>
      <w:r w:rsidRPr="00BD7D67">
        <w:rPr>
          <w:rFonts w:ascii="Verdana" w:eastAsia="Verdana" w:hAnsi="Verdana" w:cs="Courier New"/>
          <w:b/>
          <w:sz w:val="72"/>
          <w:szCs w:val="72"/>
        </w:rPr>
        <w:t>VODIČ ZA GRAĐANE</w:t>
      </w:r>
    </w:p>
    <w:p w14:paraId="394124EA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133203CC" w14:textId="77777777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48"/>
          <w:szCs w:val="48"/>
        </w:rPr>
      </w:pPr>
      <w:r w:rsidRPr="002B74A2">
        <w:rPr>
          <w:rFonts w:ascii="Verdana" w:eastAsia="Verdana" w:hAnsi="Verdana" w:cs="Courier New"/>
          <w:b/>
          <w:sz w:val="48"/>
          <w:szCs w:val="48"/>
        </w:rPr>
        <w:t>P</w:t>
      </w:r>
      <w:r w:rsidR="007221F7">
        <w:rPr>
          <w:rFonts w:ascii="Verdana" w:eastAsia="Verdana" w:hAnsi="Verdana" w:cs="Courier New"/>
          <w:b/>
          <w:sz w:val="48"/>
          <w:szCs w:val="48"/>
        </w:rPr>
        <w:t>RORAČUN OPĆINE TOMPOJEVCI ZA 202</w:t>
      </w:r>
      <w:r w:rsidR="00730574">
        <w:rPr>
          <w:rFonts w:ascii="Verdana" w:eastAsia="Verdana" w:hAnsi="Verdana" w:cs="Courier New"/>
          <w:b/>
          <w:sz w:val="48"/>
          <w:szCs w:val="48"/>
        </w:rPr>
        <w:t>4</w:t>
      </w:r>
      <w:r w:rsidR="007221F7">
        <w:rPr>
          <w:rFonts w:ascii="Verdana" w:eastAsia="Verdana" w:hAnsi="Verdana" w:cs="Courier New"/>
          <w:b/>
          <w:sz w:val="48"/>
          <w:szCs w:val="48"/>
        </w:rPr>
        <w:t>. GODINU I PROJEKCIJA ZA 202</w:t>
      </w:r>
      <w:r w:rsidR="00730574">
        <w:rPr>
          <w:rFonts w:ascii="Verdana" w:eastAsia="Verdana" w:hAnsi="Verdana" w:cs="Courier New"/>
          <w:b/>
          <w:sz w:val="48"/>
          <w:szCs w:val="48"/>
        </w:rPr>
        <w:t>5</w:t>
      </w:r>
      <w:r w:rsidR="007221F7">
        <w:rPr>
          <w:rFonts w:ascii="Verdana" w:eastAsia="Verdana" w:hAnsi="Verdana" w:cs="Courier New"/>
          <w:b/>
          <w:sz w:val="48"/>
          <w:szCs w:val="48"/>
        </w:rPr>
        <w:t>. I 202</w:t>
      </w:r>
      <w:r w:rsidR="00730574">
        <w:rPr>
          <w:rFonts w:ascii="Verdana" w:eastAsia="Verdana" w:hAnsi="Verdana" w:cs="Courier New"/>
          <w:b/>
          <w:sz w:val="48"/>
          <w:szCs w:val="48"/>
        </w:rPr>
        <w:t>6</w:t>
      </w:r>
      <w:r w:rsidRPr="002B74A2">
        <w:rPr>
          <w:rFonts w:ascii="Verdana" w:eastAsia="Verdana" w:hAnsi="Verdana" w:cs="Courier New"/>
          <w:b/>
          <w:sz w:val="48"/>
          <w:szCs w:val="48"/>
        </w:rPr>
        <w:t>. GODINU</w:t>
      </w:r>
    </w:p>
    <w:p w14:paraId="00C853F9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04A270A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7C86B39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3EC63EB7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660BBE9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815B3C8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39EED33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12FEACCD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4F37DDD5" w14:textId="77777777" w:rsidR="00105FA4" w:rsidRDefault="00105FA4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D461869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UVODNA RIJEČ OPĆINSKOG NAČELNIKA</w:t>
      </w:r>
    </w:p>
    <w:p w14:paraId="75233A6D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3854FF9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Dragi mještani Općine Tompojevci, </w:t>
      </w:r>
    </w:p>
    <w:p w14:paraId="0C59DE59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Predstavljamo</w:t>
      </w:r>
      <w:r w:rsidR="007221F7">
        <w:rPr>
          <w:rFonts w:ascii="Verdana" w:eastAsia="Verdana" w:hAnsi="Verdana" w:cs="Courier New"/>
          <w:sz w:val="20"/>
          <w:szCs w:val="20"/>
        </w:rPr>
        <w:t xml:space="preserve"> Vam Proračun za građane za 202</w:t>
      </w:r>
      <w:r w:rsidR="00730574">
        <w:rPr>
          <w:rFonts w:ascii="Verdana" w:eastAsia="Verdana" w:hAnsi="Verdana" w:cs="Courier New"/>
          <w:sz w:val="20"/>
          <w:szCs w:val="20"/>
        </w:rPr>
        <w:t>4</w:t>
      </w:r>
      <w:r w:rsidRPr="00D54569">
        <w:rPr>
          <w:rFonts w:ascii="Verdana" w:eastAsia="Verdana" w:hAnsi="Verdana" w:cs="Courier New"/>
          <w:sz w:val="20"/>
          <w:szCs w:val="20"/>
        </w:rPr>
        <w:t xml:space="preserve">. godinu. U njemu je prikazano na koji način Općina Tompojevci prikuplja i investira sredstva. Kako bi Vam omogućili uvid u rad naše Općine i učinili je što transparentnijom, molim Vas posjetite nas na našoj službenoj stranici </w:t>
      </w:r>
      <w:hyperlink r:id="rId8" w:history="1">
        <w:r w:rsidRPr="00D54569">
          <w:rPr>
            <w:rFonts w:ascii="Verdana" w:eastAsia="Verdana" w:hAnsi="Verdana" w:cs="Courier New"/>
            <w:color w:val="00A3D6"/>
            <w:sz w:val="20"/>
            <w:szCs w:val="20"/>
            <w:u w:val="single"/>
          </w:rPr>
          <w:t>www.opcina-tompojevci.hr</w:t>
        </w:r>
      </w:hyperlink>
    </w:p>
    <w:p w14:paraId="6EB3BC78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14:paraId="00523405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Tompojevci.</w:t>
      </w:r>
    </w:p>
    <w:p w14:paraId="6CA250FF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Nadam se da smo u tome uspjeli. Ovaj dokument je namijenjen vama, a mi smo na raspolaganju za sve vaše prijedloge i sugestije.</w:t>
      </w:r>
    </w:p>
    <w:p w14:paraId="2A0A34C9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</w:p>
    <w:p w14:paraId="6497C554" w14:textId="77777777" w:rsidR="00D54569" w:rsidRPr="00D54569" w:rsidRDefault="00D54569" w:rsidP="00D54569">
      <w:pPr>
        <w:spacing w:after="0" w:line="240" w:lineRule="auto"/>
        <w:ind w:left="5664" w:firstLine="708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Općinski načelnik </w:t>
      </w:r>
    </w:p>
    <w:p w14:paraId="2D7A1E34" w14:textId="77777777" w:rsidR="00D54569" w:rsidRPr="00D54569" w:rsidRDefault="00D54569" w:rsidP="00D54569">
      <w:pPr>
        <w:spacing w:after="0" w:line="240" w:lineRule="auto"/>
        <w:ind w:left="3540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               </w:t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="007B2336">
        <w:rPr>
          <w:rFonts w:ascii="Verdana" w:eastAsia="Verdana" w:hAnsi="Verdana" w:cs="Courier New"/>
          <w:sz w:val="20"/>
          <w:szCs w:val="20"/>
        </w:rPr>
        <w:t xml:space="preserve">   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="007B2336">
        <w:rPr>
          <w:rFonts w:ascii="Verdana" w:eastAsia="Verdana" w:hAnsi="Verdana" w:cs="Courier New"/>
          <w:sz w:val="20"/>
          <w:szCs w:val="20"/>
        </w:rPr>
        <w:t xml:space="preserve">Milan </w:t>
      </w:r>
      <w:proofErr w:type="spellStart"/>
      <w:r w:rsidR="007B2336">
        <w:rPr>
          <w:rFonts w:ascii="Verdana" w:eastAsia="Verdana" w:hAnsi="Verdana" w:cs="Courier New"/>
          <w:sz w:val="20"/>
          <w:szCs w:val="20"/>
        </w:rPr>
        <w:t>Grubač</w:t>
      </w:r>
      <w:proofErr w:type="spellEnd"/>
    </w:p>
    <w:p w14:paraId="40E57FF1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3F6A0C3B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263F871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303EEC0E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8F2A93A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053159A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5E706E6A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A48BE9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3C35CEC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28D0B5EF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9E05063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5D78D981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003D0727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40481C1D" w14:textId="77777777" w:rsidR="00A617F6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96B602D" w14:textId="77777777" w:rsidR="00A617F6" w:rsidRPr="00D54569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175565D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color w:val="0070C0"/>
          <w:sz w:val="20"/>
          <w:szCs w:val="20"/>
        </w:rPr>
      </w:pPr>
    </w:p>
    <w:p w14:paraId="42305AC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lastRenderedPageBreak/>
        <w:t>OPĆENITO O PRORAČUNU</w:t>
      </w:r>
    </w:p>
    <w:p w14:paraId="54180359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</w:p>
    <w:p w14:paraId="384552DC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ŠTO JE PRORAČUN?</w:t>
      </w:r>
    </w:p>
    <w:p w14:paraId="5688A07B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281715D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je jedan od najvažnijih dokumenata koji se donosi na razini jedinice lokalne samouprave.</w:t>
      </w:r>
    </w:p>
    <w:p w14:paraId="4AE6DF17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6095B30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Proračun je akt kojim se procjenjuju prihodi i primici te utvrđuju rashodi i izdaci jedinice lokalne samouprave za proračunsku godinu. Uz proračun donosi se i </w:t>
      </w:r>
      <w:r w:rsidRPr="00D54569">
        <w:rPr>
          <w:rFonts w:ascii="Verdana" w:eastAsia="Verdana" w:hAnsi="Verdana" w:cs="Courier New"/>
          <w:b/>
          <w:sz w:val="20"/>
          <w:szCs w:val="20"/>
        </w:rPr>
        <w:t>projekcija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prihoda i primitaka te rashoda i izdataka za </w:t>
      </w:r>
      <w:r w:rsidRPr="00D54569">
        <w:rPr>
          <w:rFonts w:ascii="Verdana" w:eastAsia="Verdana" w:hAnsi="Verdana" w:cs="Courier New"/>
          <w:b/>
          <w:sz w:val="20"/>
          <w:szCs w:val="20"/>
        </w:rPr>
        <w:t>dvije godine unaprijed.</w:t>
      </w:r>
    </w:p>
    <w:p w14:paraId="7FFBEE24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EEBD3A2" w14:textId="77777777" w:rsidR="00D54569" w:rsidRPr="00603837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Propisi kojim su regulirana sva pitanja vezana uz proračun je Zakon o proračunu </w:t>
      </w:r>
      <w:r w:rsidRPr="00603837">
        <w:rPr>
          <w:rFonts w:ascii="Verdana" w:eastAsia="Verdana" w:hAnsi="Verdana" w:cs="Courier New"/>
          <w:sz w:val="20"/>
          <w:szCs w:val="20"/>
        </w:rPr>
        <w:t xml:space="preserve">(Narodne novine </w:t>
      </w:r>
      <w:r w:rsidR="000D35DF" w:rsidRPr="00603837">
        <w:rPr>
          <w:rFonts w:ascii="Arial" w:hAnsi="Arial" w:cs="Arial"/>
          <w:sz w:val="20"/>
          <w:szCs w:val="20"/>
        </w:rPr>
        <w:t>144/21</w:t>
      </w:r>
      <w:r w:rsidRPr="00603837">
        <w:rPr>
          <w:rFonts w:ascii="Verdana" w:eastAsia="Verdana" w:hAnsi="Verdana" w:cs="Courier New"/>
          <w:sz w:val="20"/>
          <w:szCs w:val="20"/>
        </w:rPr>
        <w:t>).</w:t>
      </w:r>
    </w:p>
    <w:p w14:paraId="3822F818" w14:textId="77777777" w:rsidR="00D54569" w:rsidRPr="00730574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0948F81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DONOSI PRORAČUN?</w:t>
      </w:r>
    </w:p>
    <w:p w14:paraId="4E521916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color w:val="002060"/>
          <w:sz w:val="20"/>
          <w:szCs w:val="20"/>
        </w:rPr>
      </w:pPr>
    </w:p>
    <w:p w14:paraId="3E9936EF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donosi predstavničko tijelo jedinica lokalne samouprave (Općinsko vijeće Općine Tompojevci).</w:t>
      </w:r>
    </w:p>
    <w:p w14:paraId="16DD55C7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4307CCC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se prema Zakonu mora donijeti najkasnije do konca tekuće godine za iduću godinu prema prijedlogu kojeg utvrđuje načelnik i dostavlja predstavničkom tijelu do 15. studenog tekuće godine</w:t>
      </w:r>
    </w:p>
    <w:p w14:paraId="13307F38" w14:textId="77777777" w:rsidR="00D54569" w:rsidRPr="00E64C0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68D4A68" w14:textId="77777777" w:rsidR="00D54569" w:rsidRPr="00E64C06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Ako se proračun ne donese u roku slijedi:</w:t>
      </w:r>
    </w:p>
    <w:p w14:paraId="356C4110" w14:textId="77777777" w:rsidR="00D54569" w:rsidRPr="00E64C0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Privremeno financiranje</w:t>
      </w:r>
    </w:p>
    <w:p w14:paraId="1508CF04" w14:textId="77777777" w:rsidR="00D54569" w:rsidRPr="00E64C0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Raspuštanje Općinskog vijeća i Načelnika</w:t>
      </w:r>
    </w:p>
    <w:p w14:paraId="0DFA9BE1" w14:textId="77777777" w:rsidR="00D54569" w:rsidRPr="00E64C06" w:rsidRDefault="00D54569" w:rsidP="004714DD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Prijevremeni izbori za Općinsko vijeće i općinskog Načelnika</w:t>
      </w:r>
    </w:p>
    <w:p w14:paraId="623ACEE4" w14:textId="77777777" w:rsidR="00D54569" w:rsidRPr="00D54569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51FFDF6" w14:textId="77777777" w:rsidR="00D54569" w:rsidRPr="00603837" w:rsidRDefault="00D54569" w:rsidP="004714DD">
      <w:pPr>
        <w:tabs>
          <w:tab w:val="left" w:pos="10343"/>
        </w:tabs>
        <w:jc w:val="both"/>
        <w:rPr>
          <w:rFonts w:ascii="Verdana" w:eastAsia="Verdana" w:hAnsi="Verdana" w:cs="Courier New"/>
          <w:b/>
          <w:sz w:val="20"/>
          <w:szCs w:val="20"/>
        </w:rPr>
      </w:pPr>
      <w:r w:rsidRPr="00603837">
        <w:rPr>
          <w:rFonts w:ascii="Verdana" w:eastAsia="Verdana" w:hAnsi="Verdana" w:cs="Courier New"/>
          <w:b/>
          <w:sz w:val="20"/>
          <w:szCs w:val="20"/>
        </w:rPr>
        <w:t>SADRŽAJ PRORAČUNA</w:t>
      </w:r>
    </w:p>
    <w:p w14:paraId="375E86E2" w14:textId="77777777" w:rsidR="000D35DF" w:rsidRPr="00603837" w:rsidRDefault="004714DD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603837">
        <w:rPr>
          <w:rFonts w:ascii="Verdana" w:hAnsi="Verdana" w:cs="Calibri"/>
          <w:b/>
          <w:bCs/>
          <w:iCs/>
          <w:sz w:val="20"/>
          <w:szCs w:val="20"/>
        </w:rPr>
        <w:t xml:space="preserve">I </w:t>
      </w:r>
      <w:r w:rsidR="000D35DF" w:rsidRPr="00603837">
        <w:rPr>
          <w:rFonts w:ascii="Verdana" w:hAnsi="Verdana" w:cs="Calibri"/>
          <w:b/>
          <w:bCs/>
          <w:iCs/>
          <w:sz w:val="20"/>
          <w:szCs w:val="20"/>
        </w:rPr>
        <w:t>Opći dio proračuna sadrži:</w:t>
      </w:r>
    </w:p>
    <w:p w14:paraId="40694EA3" w14:textId="77777777" w:rsidR="000D35DF" w:rsidRPr="00603837" w:rsidRDefault="000D35DF" w:rsidP="004714DD">
      <w:pPr>
        <w:ind w:right="-566"/>
        <w:jc w:val="both"/>
        <w:rPr>
          <w:rFonts w:ascii="Verdana" w:hAnsi="Verdana" w:cs="Calibri"/>
          <w:b/>
          <w:bCs/>
          <w:iCs/>
          <w:sz w:val="20"/>
          <w:szCs w:val="20"/>
        </w:rPr>
      </w:pPr>
      <w:r w:rsidRPr="00603837">
        <w:rPr>
          <w:rFonts w:ascii="Verdana" w:hAnsi="Verdana" w:cs="Calibri"/>
          <w:b/>
          <w:bCs/>
          <w:iCs/>
          <w:sz w:val="20"/>
          <w:szCs w:val="20"/>
        </w:rPr>
        <w:t>– sažetak Računa prihoda i rashoda i Računa financiranja</w:t>
      </w:r>
    </w:p>
    <w:p w14:paraId="22FAA872" w14:textId="77777777" w:rsidR="000D35DF" w:rsidRPr="00730574" w:rsidRDefault="000D35DF" w:rsidP="004714DD">
      <w:pPr>
        <w:ind w:right="-566"/>
        <w:jc w:val="both"/>
        <w:rPr>
          <w:rFonts w:ascii="Verdana" w:hAnsi="Verdana" w:cs="Calibri"/>
          <w:b/>
          <w:bCs/>
          <w:iCs/>
          <w:color w:val="FF0000"/>
          <w:sz w:val="20"/>
          <w:szCs w:val="20"/>
        </w:rPr>
      </w:pPr>
      <w:r w:rsidRPr="00603837">
        <w:rPr>
          <w:rFonts w:ascii="Verdana" w:hAnsi="Verdana" w:cs="Calibri"/>
          <w:b/>
          <w:bCs/>
          <w:iCs/>
          <w:sz w:val="20"/>
          <w:szCs w:val="20"/>
        </w:rPr>
        <w:t>– Račun prihoda i rashoda i Račun financiranja</w:t>
      </w:r>
      <w:r w:rsidRPr="00730574">
        <w:rPr>
          <w:rFonts w:ascii="Verdana" w:hAnsi="Verdana" w:cs="Calibri"/>
          <w:b/>
          <w:bCs/>
          <w:iCs/>
          <w:color w:val="FF0000"/>
          <w:sz w:val="20"/>
          <w:szCs w:val="20"/>
        </w:rPr>
        <w:t>.</w:t>
      </w:r>
    </w:p>
    <w:p w14:paraId="051CE01B" w14:textId="77777777" w:rsidR="004714DD" w:rsidRPr="004714DD" w:rsidRDefault="000D35DF" w:rsidP="006E338C">
      <w:pPr>
        <w:shd w:val="clear" w:color="auto" w:fill="FFFFFF"/>
        <w:spacing w:after="48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>Sažetak</w:t>
      </w:r>
      <w:r w:rsidRPr="004714DD">
        <w:rPr>
          <w:rFonts w:ascii="Verdana" w:hAnsi="Verdana" w:cs="Calibri"/>
          <w:b/>
          <w:bCs/>
          <w:i/>
          <w:iCs/>
          <w:sz w:val="20"/>
          <w:szCs w:val="20"/>
        </w:rPr>
        <w:t xml:space="preserve"> </w:t>
      </w:r>
      <w:r w:rsidRPr="004714DD">
        <w:rPr>
          <w:rFonts w:ascii="Verdana" w:hAnsi="Verdana" w:cs="Calibri"/>
          <w:b/>
          <w:bCs/>
          <w:iCs/>
          <w:sz w:val="20"/>
          <w:szCs w:val="20"/>
        </w:rPr>
        <w:t>Računa prihoda i rashoda i Sažetak Računa financiranja</w:t>
      </w:r>
      <w:r w:rsidRPr="004714DD">
        <w:rPr>
          <w:rFonts w:ascii="Verdana" w:hAnsi="Verdana" w:cs="Calibri"/>
          <w:sz w:val="20"/>
          <w:szCs w:val="20"/>
        </w:rPr>
        <w:t xml:space="preserve"> sastoji se od </w:t>
      </w:r>
    </w:p>
    <w:p w14:paraId="3FCE123F" w14:textId="77777777" w:rsidR="000D35DF" w:rsidRPr="004714DD" w:rsidRDefault="004714DD" w:rsidP="006E338C">
      <w:pPr>
        <w:shd w:val="clear" w:color="auto" w:fill="FFFFFF"/>
        <w:spacing w:after="48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 xml:space="preserve">Ukupnih </w:t>
      </w:r>
      <w:r w:rsidR="000D35DF" w:rsidRPr="004714DD">
        <w:rPr>
          <w:rFonts w:ascii="Verdana" w:hAnsi="Verdana" w:cs="Calibri"/>
          <w:sz w:val="20"/>
          <w:szCs w:val="20"/>
        </w:rPr>
        <w:t xml:space="preserve">prihoda poslovanja i prihoda od prodaje nefinancijske imovine, ukupnih rashoda poslovanja i rashoda za nabavu nefinancijske imovine, te ukupnih primitaka </w:t>
      </w:r>
      <w:r w:rsidR="006E338C">
        <w:rPr>
          <w:rFonts w:ascii="Verdana" w:hAnsi="Verdana" w:cs="Calibri"/>
          <w:sz w:val="20"/>
          <w:szCs w:val="20"/>
        </w:rPr>
        <w:t>od</w:t>
      </w:r>
      <w:r w:rsidR="00730574">
        <w:rPr>
          <w:rFonts w:ascii="Verdana" w:hAnsi="Verdana" w:cs="Calibri"/>
          <w:sz w:val="20"/>
          <w:szCs w:val="20"/>
        </w:rPr>
        <w:t xml:space="preserve"> </w:t>
      </w:r>
      <w:r w:rsidR="000D35DF" w:rsidRPr="004714DD">
        <w:rPr>
          <w:rFonts w:ascii="Verdana" w:hAnsi="Verdana" w:cs="Calibri"/>
          <w:sz w:val="20"/>
          <w:szCs w:val="20"/>
        </w:rPr>
        <w:t>financijske imovine i zaduživanja i izdataka za financijsku imovinu i otplate zajmova.</w:t>
      </w:r>
    </w:p>
    <w:p w14:paraId="5F9EDBB1" w14:textId="77777777" w:rsidR="000D35DF" w:rsidRPr="004714DD" w:rsidRDefault="000D35DF" w:rsidP="006E338C">
      <w:pPr>
        <w:spacing w:after="100" w:afterAutospacing="1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>Račun prihoda i rashoda proračuna</w:t>
      </w:r>
      <w:r w:rsidRPr="004714DD">
        <w:rPr>
          <w:rFonts w:ascii="Verdana" w:hAnsi="Verdana" w:cs="Calibri"/>
          <w:sz w:val="20"/>
          <w:szCs w:val="20"/>
        </w:rPr>
        <w:t xml:space="preserve"> sastoji se od prihoda i rashoda iskazanih prema izvorima financiranja i ekonomskoj klasifikaciji na razini skupine, te rashoda iskazanih prema funkcijskoj klasifikaciji dok se u računu financiranja iskazuju primici od financijske imovine i zaduživanja te izdaci za financijsku imovinu i otplate instrumenata zaduživanja prema izvorima financiranja i ekonomskoj klasifikaciji.</w:t>
      </w:r>
    </w:p>
    <w:p w14:paraId="6C5F0936" w14:textId="77777777" w:rsidR="000D35DF" w:rsidRPr="004714DD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 xml:space="preserve">Ako ukupni prihodi i primici nisu jednaki ukupnim rashodima i izdacima, opći dio proračuna sadrži i </w:t>
      </w:r>
      <w:r w:rsidRPr="004714DD">
        <w:rPr>
          <w:rFonts w:ascii="Verdana" w:hAnsi="Verdana" w:cs="Calibri"/>
          <w:b/>
          <w:bCs/>
          <w:iCs/>
          <w:sz w:val="20"/>
          <w:szCs w:val="20"/>
        </w:rPr>
        <w:t>preneseni višak ili preneseni manjak prihoda nad rashodim</w:t>
      </w:r>
      <w:r w:rsidRPr="004714DD">
        <w:rPr>
          <w:rFonts w:ascii="Verdana" w:hAnsi="Verdana" w:cs="Calibri"/>
          <w:b/>
          <w:bCs/>
          <w:i/>
          <w:iCs/>
          <w:sz w:val="20"/>
          <w:szCs w:val="20"/>
        </w:rPr>
        <w:t>a</w:t>
      </w:r>
      <w:r w:rsidRPr="004714DD">
        <w:rPr>
          <w:rFonts w:ascii="Verdana" w:hAnsi="Verdana" w:cs="Calibri"/>
          <w:sz w:val="20"/>
          <w:szCs w:val="20"/>
        </w:rPr>
        <w:t>. Ukoliko nije moguće u jednoj proračunskoj godini podmiriti planirani manjak odnosno utrošiti planirani višak potrebno je donijeti višegodišnji plan uravnoteženja i isti uključiti u proračun.</w:t>
      </w:r>
    </w:p>
    <w:p w14:paraId="14F15CBF" w14:textId="77777777" w:rsidR="000D35DF" w:rsidRPr="004714DD" w:rsidRDefault="004714DD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lastRenderedPageBreak/>
        <w:t xml:space="preserve">II </w:t>
      </w:r>
      <w:r w:rsidR="000D35DF" w:rsidRPr="004714DD">
        <w:rPr>
          <w:rFonts w:ascii="Verdana" w:hAnsi="Verdana" w:cs="Calibri"/>
          <w:b/>
          <w:bCs/>
          <w:iCs/>
          <w:sz w:val="20"/>
          <w:szCs w:val="20"/>
        </w:rPr>
        <w:t>Posebni dio proračuna</w:t>
      </w:r>
      <w:r w:rsidR="000D35DF" w:rsidRPr="004714DD">
        <w:rPr>
          <w:rFonts w:ascii="Verdana" w:hAnsi="Verdana" w:cs="Calibri"/>
          <w:sz w:val="20"/>
          <w:szCs w:val="20"/>
        </w:rPr>
        <w:t xml:space="preserve"> sastoji se od plana rashoda i izdataka Općine Tompojevci iskazanih po organizacijskoj klasifikaciji, izvorima financiranja i ekonomskoj klasifikaciji na razini skupine (druga razina), raspoređenih u programe koji se sastoje od aktivnosti i projekata.</w:t>
      </w:r>
    </w:p>
    <w:p w14:paraId="0A7FD63E" w14:textId="77777777" w:rsidR="000D35DF" w:rsidRPr="004714DD" w:rsidRDefault="004714DD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b/>
          <w:bCs/>
          <w:iCs/>
          <w:sz w:val="20"/>
          <w:szCs w:val="20"/>
        </w:rPr>
        <w:t xml:space="preserve">III </w:t>
      </w:r>
      <w:r w:rsidR="000D35DF" w:rsidRPr="004714DD">
        <w:rPr>
          <w:rFonts w:ascii="Verdana" w:hAnsi="Verdana" w:cs="Calibri"/>
          <w:b/>
          <w:bCs/>
          <w:iCs/>
          <w:sz w:val="20"/>
          <w:szCs w:val="20"/>
        </w:rPr>
        <w:t>Obrazloženje proračun</w:t>
      </w:r>
      <w:r w:rsidR="000D35DF" w:rsidRPr="004714DD">
        <w:rPr>
          <w:rFonts w:ascii="Verdana" w:hAnsi="Verdana" w:cs="Calibri"/>
          <w:b/>
          <w:bCs/>
          <w:i/>
          <w:iCs/>
          <w:sz w:val="20"/>
          <w:szCs w:val="20"/>
        </w:rPr>
        <w:t>a</w:t>
      </w:r>
      <w:r w:rsidR="000D35DF" w:rsidRPr="004714DD">
        <w:rPr>
          <w:rFonts w:ascii="Verdana" w:hAnsi="Verdana" w:cs="Calibri"/>
          <w:sz w:val="20"/>
          <w:szCs w:val="20"/>
        </w:rPr>
        <w:t xml:space="preserve"> sastoji se od obrazloženja općeg dijela proračuna i obrazloženja posebnog dijela proračuna, te obrazloženja prenesenog manjka odnosno viška proračuna.</w:t>
      </w:r>
    </w:p>
    <w:p w14:paraId="654ACD9B" w14:textId="77777777" w:rsidR="000D35DF" w:rsidRPr="004714DD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>Obrazloženje općeg dijela proračuna sadrži obrazloženje:</w:t>
      </w:r>
    </w:p>
    <w:p w14:paraId="01BE9F49" w14:textId="77777777" w:rsidR="000D35DF" w:rsidRPr="004714DD" w:rsidRDefault="000D35DF" w:rsidP="006E338C">
      <w:pPr>
        <w:spacing w:after="0"/>
        <w:ind w:left="-567" w:firstLine="567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 xml:space="preserve">– prihoda i rashoda, primitaka i izdataka proračuna </w:t>
      </w:r>
    </w:p>
    <w:p w14:paraId="08F15D2F" w14:textId="77777777" w:rsidR="000D35DF" w:rsidRPr="004714DD" w:rsidRDefault="000D35DF" w:rsidP="006E338C">
      <w:pPr>
        <w:spacing w:after="0"/>
        <w:ind w:left="-567" w:firstLine="567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>– prenesenog manjka odnosno viška proračuna.</w:t>
      </w:r>
    </w:p>
    <w:p w14:paraId="2E908741" w14:textId="77777777" w:rsidR="000D35DF" w:rsidRPr="004714DD" w:rsidRDefault="000D35DF" w:rsidP="006E338C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4714DD">
        <w:rPr>
          <w:rFonts w:ascii="Verdana" w:hAnsi="Verdana" w:cs="Calibri"/>
          <w:sz w:val="20"/>
          <w:szCs w:val="20"/>
        </w:rPr>
        <w:t>Obrazloženje posebnog dijela Proračuna sastoji se od obrazloženja programa koje se daje kroz obrazloženje aktivnosti i projekata zajedno sa ciljevima i pokazateljima uspješnosti.</w:t>
      </w:r>
    </w:p>
    <w:p w14:paraId="79A19567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6ED8857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Cs/>
          <w:sz w:val="20"/>
          <w:szCs w:val="20"/>
        </w:rPr>
      </w:pPr>
    </w:p>
    <w:p w14:paraId="219453D7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b/>
          <w:bCs/>
          <w:sz w:val="20"/>
          <w:szCs w:val="20"/>
        </w:rPr>
      </w:pPr>
      <w:r w:rsidRPr="004714DD">
        <w:rPr>
          <w:rFonts w:ascii="Verdana" w:eastAsia="Verdana" w:hAnsi="Verdana" w:cs="Courier New"/>
          <w:b/>
          <w:bCs/>
          <w:sz w:val="20"/>
          <w:szCs w:val="20"/>
        </w:rPr>
        <w:t>PRIHODI I PRIMICI, RASHODI I IZDACI PRORAČUNA PO VRSTAMA</w:t>
      </w:r>
    </w:p>
    <w:p w14:paraId="5261179A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1D34722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Prihodi i primici Proračuna prema ekonomskoj klasifikaciji obuhvaćaju: </w:t>
      </w:r>
    </w:p>
    <w:p w14:paraId="515CDB89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25EFE18" w14:textId="77777777" w:rsidR="00D54569" w:rsidRPr="004714DD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>prihode poslovanja</w:t>
      </w:r>
    </w:p>
    <w:p w14:paraId="4146CB11" w14:textId="77777777" w:rsidR="00D54569" w:rsidRPr="004714DD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prihode od prodaje nefinancijske imovine </w:t>
      </w:r>
    </w:p>
    <w:p w14:paraId="53E917D4" w14:textId="77777777" w:rsidR="00D54569" w:rsidRPr="004714DD" w:rsidRDefault="00D54569" w:rsidP="004714DD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raspoloživa sredstva iz prethodnih godina </w:t>
      </w:r>
    </w:p>
    <w:p w14:paraId="3043F2E3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9C9C442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>Rashodi i izdaci Proračuna prema ekonomskoj klasifikaciji obuhvaćaju:</w:t>
      </w:r>
    </w:p>
    <w:p w14:paraId="0C7AF0FF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637C1205" w14:textId="77777777" w:rsidR="00D54569" w:rsidRPr="004714DD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>rashode poslovanja</w:t>
      </w:r>
    </w:p>
    <w:p w14:paraId="29CC2A2D" w14:textId="77777777" w:rsidR="00D54569" w:rsidRPr="004714DD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rashode za nabavu nefinancijske imovine </w:t>
      </w:r>
    </w:p>
    <w:p w14:paraId="187ACA74" w14:textId="77777777" w:rsidR="00D54569" w:rsidRPr="004714DD" w:rsidRDefault="00D54569" w:rsidP="004714DD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Verdana" w:eastAsia="Verdana" w:hAnsi="Verdana" w:cs="Courier New"/>
          <w:sz w:val="20"/>
          <w:szCs w:val="20"/>
        </w:rPr>
      </w:pPr>
      <w:r w:rsidRPr="004714DD">
        <w:rPr>
          <w:rFonts w:ascii="Verdana" w:eastAsia="Verdana" w:hAnsi="Verdana" w:cs="Courier New"/>
          <w:sz w:val="20"/>
          <w:szCs w:val="20"/>
        </w:rPr>
        <w:t xml:space="preserve">izdatke za financijsku imovinu i otplate zajmova </w:t>
      </w:r>
    </w:p>
    <w:p w14:paraId="39B59045" w14:textId="77777777" w:rsidR="00D54569" w:rsidRPr="004714DD" w:rsidRDefault="00D54569" w:rsidP="004714DD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56C6F87" w14:textId="77777777" w:rsidR="00E67EEC" w:rsidRPr="004714DD" w:rsidRDefault="00E67EE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</w:p>
    <w:p w14:paraId="2BFF33F5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  <w:r w:rsidRPr="00D54569">
        <w:rPr>
          <w:rFonts w:ascii="Verdana" w:eastAsia="Verdana" w:hAnsi="Verdana" w:cs="Courier New"/>
          <w:b/>
          <w:bCs/>
          <w:sz w:val="32"/>
          <w:szCs w:val="32"/>
        </w:rPr>
        <w:t>VAŽNO JE ZNATI!</w:t>
      </w:r>
    </w:p>
    <w:p w14:paraId="78791465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8105117" w14:textId="2CC0EA90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Jedno od najvažnijih načela Proračuna je da isti mora biti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uravnotežen = ukupna visina planiranih prihoda</w:t>
      </w:r>
      <w:r w:rsidR="00A617F6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</w:t>
      </w:r>
      <w:r w:rsidR="00261BF9" w:rsidRPr="00E00083">
        <w:rPr>
          <w:rFonts w:ascii="Verdana" w:eastAsia="Verdana" w:hAnsi="Verdana" w:cs="Courier New"/>
          <w:b/>
          <w:bCs/>
          <w:sz w:val="20"/>
          <w:szCs w:val="20"/>
        </w:rPr>
        <w:t>i višak/manjak</w:t>
      </w:r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 xml:space="preserve"> iz </w:t>
      </w:r>
      <w:r w:rsidR="00603837" w:rsidRPr="00E00083">
        <w:rPr>
          <w:rFonts w:ascii="Verdana" w:eastAsia="Verdana" w:hAnsi="Verdana" w:cs="Courier New"/>
          <w:b/>
          <w:bCs/>
          <w:sz w:val="20"/>
          <w:szCs w:val="20"/>
        </w:rPr>
        <w:t>prethodnih</w:t>
      </w:r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 xml:space="preserve"> godina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mora biti istovjet</w:t>
      </w:r>
      <w:r w:rsidR="00E64C06">
        <w:rPr>
          <w:rFonts w:ascii="Verdana" w:eastAsia="Verdana" w:hAnsi="Verdana" w:cs="Courier New"/>
          <w:b/>
          <w:bCs/>
          <w:color w:val="000000"/>
          <w:sz w:val="20"/>
          <w:szCs w:val="20"/>
        </w:rPr>
        <w:t>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n ukupnoj visini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planiranih rashoda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0503B680" w14:textId="77777777" w:rsid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A7D097D" w14:textId="77777777" w:rsidR="00FF5466" w:rsidRPr="00D54569" w:rsidRDefault="00FF546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9E1FB12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D69A25A" w14:textId="77777777" w:rsidR="00D54569" w:rsidRDefault="00FF6D47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14C4F4FF" wp14:editId="62F79FA5">
            <wp:extent cx="1362075" cy="128587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6351B" w14:textId="77777777" w:rsidR="00FF5466" w:rsidRPr="00D54569" w:rsidRDefault="00FF546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FB0218E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30408C5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CD152A4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Određeni rashodi mogu se financirati isključivo iz određenih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prihoda – namjenski prihodi.</w:t>
      </w:r>
    </w:p>
    <w:p w14:paraId="055C5F22" w14:textId="77777777" w:rsidR="00B46BAC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3BA5113" w14:textId="77777777" w:rsidR="00B46BAC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DC528CE" w14:textId="77777777" w:rsidR="00B46BAC" w:rsidRDefault="00B46BAC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FBB5E0B" w14:textId="77777777" w:rsidR="00D54569" w:rsidRPr="00D54569" w:rsidRDefault="00E64C06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0213CBD4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lastRenderedPageBreak/>
        <w:t xml:space="preserve">PRIHODI PRORAČUNA I NJIHOVA NAMJENA </w:t>
      </w:r>
    </w:p>
    <w:p w14:paraId="4C7F32FF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46D43635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Za što se koriste?</w:t>
      </w:r>
    </w:p>
    <w:p w14:paraId="56306A5E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A6D6D32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od prodaje imovine = isključivo za kapitalna ulaganja (investicije)</w:t>
      </w:r>
    </w:p>
    <w:p w14:paraId="7302D0DB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Komunalni prihodi = isključivo za komunalne programe</w:t>
      </w:r>
    </w:p>
    <w:p w14:paraId="4E135C84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Komunalni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doprinos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= g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radnja objekata i uređaja komunalne infrastrukture</w:t>
      </w:r>
    </w:p>
    <w:p w14:paraId="57D110A3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Komunalna naknada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=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održavanje objekata i uređaja komunalne infrastrukture</w:t>
      </w:r>
    </w:p>
    <w:p w14:paraId="0A783182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00FF81B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Nenamjenski prihodi = (porezi, zakup </w:t>
      </w:r>
      <w:proofErr w:type="spellStart"/>
      <w:r w:rsidRPr="00D54569">
        <w:rPr>
          <w:rFonts w:ascii="Verdana" w:eastAsia="Verdana" w:hAnsi="Verdana" w:cs="Courier New"/>
          <w:color w:val="000000"/>
          <w:sz w:val="20"/>
          <w:szCs w:val="20"/>
        </w:rPr>
        <w:t>posl</w:t>
      </w:r>
      <w:proofErr w:type="spellEnd"/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. prostora, ostali prihodi) mogu financirati sve vrste rashoda, a u općini Tompojevci uglavnom se troše za: </w:t>
      </w:r>
    </w:p>
    <w:p w14:paraId="3FAE0045" w14:textId="77777777" w:rsidR="00D54569" w:rsidRPr="00D54569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Javne potrebe </w:t>
      </w:r>
    </w:p>
    <w:p w14:paraId="114D3674" w14:textId="77777777" w:rsidR="00D54569" w:rsidRPr="00D54569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Materijalne rashode Općine</w:t>
      </w:r>
    </w:p>
    <w:p w14:paraId="5A2EBC62" w14:textId="77777777" w:rsidR="00D54569" w:rsidRPr="00D54569" w:rsidRDefault="00D54569" w:rsidP="004714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Pokriće nedostataka komunalnih prihoda u održavanju komunalne infrastrukture (Program održavanje komunalne infrastrukture viši je od prihoda koji se uberu za tu namjenu)</w:t>
      </w:r>
    </w:p>
    <w:p w14:paraId="4DFDD6F0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E2B9F23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RASHODI PRORAČUNA </w:t>
      </w:r>
    </w:p>
    <w:p w14:paraId="0A84D56A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24FBF2DD" w14:textId="77777777" w:rsidR="00D54569" w:rsidRPr="00D54569" w:rsidRDefault="00D54569" w:rsidP="004714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poslovanja</w:t>
      </w:r>
    </w:p>
    <w:p w14:paraId="70A0DA54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Materijalni rashodi</w:t>
      </w:r>
    </w:p>
    <w:p w14:paraId="65E4C4BF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Financijski rashodi</w:t>
      </w:r>
    </w:p>
    <w:p w14:paraId="145CB386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Subvencije</w:t>
      </w:r>
    </w:p>
    <w:p w14:paraId="435FD0E1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Pomoći unutar općeg proračuna</w:t>
      </w:r>
    </w:p>
    <w:p w14:paraId="4DDD203A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Naknada građanima i kućanstvima na temelju osiguranja i druge naknade</w:t>
      </w:r>
    </w:p>
    <w:p w14:paraId="372A3EC4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Ostali rashodi</w:t>
      </w:r>
    </w:p>
    <w:p w14:paraId="6AB6BC0B" w14:textId="77777777" w:rsidR="00D54569" w:rsidRPr="00D54569" w:rsidRDefault="00D54569" w:rsidP="004714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Rashodi za nabavu nefinancijske imovine </w:t>
      </w:r>
    </w:p>
    <w:p w14:paraId="7F58DFD6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F901FE3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Dali se proračun može mijenjati?</w:t>
      </w:r>
    </w:p>
    <w:p w14:paraId="272406C8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C24ECCA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Proračun nije „statičan” akt već se, sukladno Zakonu može mijenjati tijekom proračunske godine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„rebalans”.  Procedura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izmjena Proračuna istovjetna je proceduri njegova donošenja: „rebalans” predlaže načelnik, a donosi Općinsko vijeće.</w:t>
      </w:r>
    </w:p>
    <w:p w14:paraId="1F9CDBD3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Tijekom proračunske godine, a u slučaju da se, zbog nastanka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pl-PL"/>
        </w:rPr>
        <w:t xml:space="preserve"> novih obveza za proračun ili promjena gospodarskih kretanja,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povećaju rashod</w:t>
      </w:r>
      <w:r w:rsidR="00E00083">
        <w:rPr>
          <w:rFonts w:ascii="Verdana" w:eastAsia="Verdana" w:hAnsi="Verdana" w:cs="Courier New"/>
          <w:color w:val="000000"/>
          <w:sz w:val="20"/>
          <w:szCs w:val="20"/>
        </w:rPr>
        <w:t>i i/ili izdaci odnosno smanjuju prihodi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i/ili primici, načelnik može na prijedlog Upravno</w:t>
      </w:r>
      <w:r w:rsidR="00B46BAC">
        <w:rPr>
          <w:rFonts w:ascii="Verdana" w:eastAsia="Verdana" w:hAnsi="Verdana" w:cs="Courier New"/>
          <w:color w:val="000000"/>
          <w:sz w:val="20"/>
          <w:szCs w:val="20"/>
        </w:rPr>
        <w:t xml:space="preserve">g odijela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obustaviti izvršavanje pojedinih rashoda i/ili izdataka.</w:t>
      </w:r>
    </w:p>
    <w:p w14:paraId="5FA9EA58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49010C2" w14:textId="77777777" w:rsidR="00D54569" w:rsidRPr="00D54569" w:rsidRDefault="00D54569" w:rsidP="004714D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Općina može zaduživati?</w:t>
      </w:r>
    </w:p>
    <w:p w14:paraId="75DF8D5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C3DF23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dugoročno zaduživati</w:t>
      </w:r>
    </w:p>
    <w:p w14:paraId="0F80DC1B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Isključivo za kapitalne investicije</w:t>
      </w:r>
    </w:p>
    <w:p w14:paraId="5D88A1EB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Investicija planirana u Proračunu</w:t>
      </w:r>
    </w:p>
    <w:p w14:paraId="5DB8915B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Prethodna suglasnost Općinskog vijeća</w:t>
      </w:r>
    </w:p>
    <w:p w14:paraId="0CAD39DC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Suglasnost Vlade RH</w:t>
      </w:r>
    </w:p>
    <w:p w14:paraId="6C9172A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2E95B2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Ukupan opseg zaduživanje (godišnja obveza anuiteta po zaduženju Općine kao i anuiteta po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danim jamstvima i suglasnostima (trgovačkim društvima i ustanovama Općine)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ne smije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  <w:lang w:val="pl-PL"/>
        </w:rPr>
        <w:t>prelaziti 20% prihoda proračuna (bez prihoda od domaćih i stranih pomoći,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donacija,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sufinanciranja građana)</w:t>
      </w:r>
    </w:p>
    <w:p w14:paraId="6D5B786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927FEC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kratkoročno zaduživati</w:t>
      </w:r>
    </w:p>
    <w:p w14:paraId="3E6725F0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Bez posebnih suglasnosti</w:t>
      </w:r>
    </w:p>
    <w:p w14:paraId="162740C1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Pokriće nelikvidnosti</w:t>
      </w:r>
    </w:p>
    <w:p w14:paraId="7AEBFA69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Unutar jedne godine</w:t>
      </w:r>
    </w:p>
    <w:p w14:paraId="49F2873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783AAA49" w14:textId="7CAFB473" w:rsidR="00D54569" w:rsidRPr="00271A3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271A39">
        <w:rPr>
          <w:rFonts w:ascii="Verdana" w:eastAsia="Verdana" w:hAnsi="Verdana" w:cs="Courier New"/>
          <w:color w:val="000000"/>
          <w:sz w:val="20"/>
          <w:szCs w:val="20"/>
        </w:rPr>
        <w:t>Općina Tom</w:t>
      </w:r>
      <w:r w:rsidR="00730574" w:rsidRPr="00271A39">
        <w:rPr>
          <w:rFonts w:ascii="Verdana" w:eastAsia="Verdana" w:hAnsi="Verdana" w:cs="Courier New"/>
          <w:color w:val="000000"/>
          <w:sz w:val="20"/>
          <w:szCs w:val="20"/>
        </w:rPr>
        <w:t>pojevc</w:t>
      </w:r>
      <w:r w:rsidR="00271A39" w:rsidRPr="00271A39">
        <w:rPr>
          <w:rFonts w:ascii="Verdana" w:eastAsia="Verdana" w:hAnsi="Verdana" w:cs="Courier New"/>
          <w:color w:val="000000"/>
          <w:sz w:val="20"/>
          <w:szCs w:val="20"/>
        </w:rPr>
        <w:t>i</w:t>
      </w:r>
      <w:r w:rsidR="00730574" w:rsidRPr="00271A39">
        <w:rPr>
          <w:rFonts w:ascii="Verdana" w:eastAsia="Verdana" w:hAnsi="Verdana" w:cs="Courier New"/>
          <w:color w:val="000000"/>
          <w:sz w:val="20"/>
          <w:szCs w:val="20"/>
        </w:rPr>
        <w:t xml:space="preserve"> planira </w:t>
      </w:r>
      <w:r w:rsidRPr="00271A39">
        <w:rPr>
          <w:rFonts w:ascii="Verdana" w:eastAsia="Verdana" w:hAnsi="Verdana" w:cs="Courier New"/>
          <w:color w:val="000000"/>
          <w:sz w:val="20"/>
          <w:szCs w:val="20"/>
        </w:rPr>
        <w:t>dugoroč</w:t>
      </w:r>
      <w:r w:rsidR="00730574" w:rsidRPr="00271A39">
        <w:rPr>
          <w:rFonts w:ascii="Verdana" w:eastAsia="Verdana" w:hAnsi="Verdana" w:cs="Courier New"/>
          <w:color w:val="000000"/>
          <w:sz w:val="20"/>
          <w:szCs w:val="20"/>
        </w:rPr>
        <w:t>no</w:t>
      </w:r>
      <w:r w:rsidRPr="00271A3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="00730574" w:rsidRPr="00271A39">
        <w:rPr>
          <w:rFonts w:ascii="Verdana" w:eastAsia="Verdana" w:hAnsi="Verdana" w:cs="Courier New"/>
          <w:color w:val="000000"/>
          <w:sz w:val="20"/>
          <w:szCs w:val="20"/>
        </w:rPr>
        <w:t>zaduženje</w:t>
      </w:r>
      <w:r w:rsidR="00271A39" w:rsidRPr="00271A39">
        <w:rPr>
          <w:rFonts w:ascii="Verdana" w:eastAsia="Verdana" w:hAnsi="Verdana" w:cs="Courier New"/>
          <w:color w:val="000000"/>
          <w:sz w:val="20"/>
          <w:szCs w:val="20"/>
        </w:rPr>
        <w:t xml:space="preserve"> ako se za to ukaže potreba</w:t>
      </w:r>
      <w:r w:rsidRPr="00271A39">
        <w:rPr>
          <w:rFonts w:ascii="Verdana" w:eastAsia="Verdana" w:hAnsi="Verdana" w:cs="Courier New"/>
          <w:color w:val="000000"/>
          <w:sz w:val="20"/>
          <w:szCs w:val="20"/>
        </w:rPr>
        <w:t>.</w:t>
      </w:r>
    </w:p>
    <w:p w14:paraId="7DA3BA2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D28C83B" w14:textId="77777777" w:rsidR="007221F7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P</w:t>
      </w:r>
      <w:r w:rsidR="007221F7">
        <w:rPr>
          <w:rFonts w:ascii="Verdana" w:eastAsia="Verdana" w:hAnsi="Verdana" w:cs="Courier New"/>
          <w:b/>
          <w:sz w:val="32"/>
          <w:szCs w:val="32"/>
        </w:rPr>
        <w:t>RORAČUN OPĆINE TOMPOJEVCI ZA</w:t>
      </w:r>
    </w:p>
    <w:p w14:paraId="7096281E" w14:textId="77777777" w:rsidR="00D54569" w:rsidRPr="00D54569" w:rsidRDefault="007221F7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>
        <w:rPr>
          <w:rFonts w:ascii="Verdana" w:eastAsia="Verdana" w:hAnsi="Verdana" w:cs="Courier New"/>
          <w:b/>
          <w:sz w:val="32"/>
          <w:szCs w:val="32"/>
        </w:rPr>
        <w:t xml:space="preserve"> 202</w:t>
      </w:r>
      <w:r w:rsidR="00730574">
        <w:rPr>
          <w:rFonts w:ascii="Verdana" w:eastAsia="Verdana" w:hAnsi="Verdana" w:cs="Courier New"/>
          <w:b/>
          <w:sz w:val="32"/>
          <w:szCs w:val="32"/>
        </w:rPr>
        <w:t>4</w:t>
      </w:r>
      <w:r w:rsidR="00D54569" w:rsidRPr="00D54569">
        <w:rPr>
          <w:rFonts w:ascii="Verdana" w:eastAsia="Verdana" w:hAnsi="Verdana" w:cs="Courier New"/>
          <w:b/>
          <w:sz w:val="32"/>
          <w:szCs w:val="32"/>
        </w:rPr>
        <w:t>.GODINU</w:t>
      </w:r>
    </w:p>
    <w:p w14:paraId="4B8DF8F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I PROJEKCIJA PRORAČUNA ZA</w:t>
      </w:r>
    </w:p>
    <w:p w14:paraId="2093FAB6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20</w:t>
      </w:r>
      <w:r w:rsidR="00CC5F28">
        <w:rPr>
          <w:rFonts w:ascii="Verdana" w:eastAsia="Verdana" w:hAnsi="Verdana" w:cs="Courier New"/>
          <w:b/>
          <w:sz w:val="32"/>
          <w:szCs w:val="32"/>
        </w:rPr>
        <w:t>2</w:t>
      </w:r>
      <w:r w:rsidR="00730574">
        <w:rPr>
          <w:rFonts w:ascii="Verdana" w:eastAsia="Verdana" w:hAnsi="Verdana" w:cs="Courier New"/>
          <w:b/>
          <w:sz w:val="32"/>
          <w:szCs w:val="32"/>
        </w:rPr>
        <w:t>5</w:t>
      </w:r>
      <w:r w:rsidRPr="00D54569">
        <w:rPr>
          <w:rFonts w:ascii="Verdana" w:eastAsia="Verdana" w:hAnsi="Verdana" w:cs="Courier New"/>
          <w:b/>
          <w:sz w:val="32"/>
          <w:szCs w:val="32"/>
        </w:rPr>
        <w:t>. I 202</w:t>
      </w:r>
      <w:r w:rsidR="00730574">
        <w:rPr>
          <w:rFonts w:ascii="Verdana" w:eastAsia="Verdana" w:hAnsi="Verdana" w:cs="Courier New"/>
          <w:b/>
          <w:sz w:val="32"/>
          <w:szCs w:val="32"/>
        </w:rPr>
        <w:t>6</w:t>
      </w:r>
      <w:r w:rsidRPr="00D54569">
        <w:rPr>
          <w:rFonts w:ascii="Verdana" w:eastAsia="Verdana" w:hAnsi="Verdana" w:cs="Courier New"/>
          <w:b/>
          <w:sz w:val="32"/>
          <w:szCs w:val="32"/>
        </w:rPr>
        <w:t>. GODINU</w:t>
      </w:r>
    </w:p>
    <w:p w14:paraId="6805E4B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5234C9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63D3096" w14:textId="77777777" w:rsidR="00D54569" w:rsidRPr="00BB0601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 w:rsidRPr="00BB0601">
        <w:rPr>
          <w:rFonts w:ascii="Verdana" w:eastAsia="Verdana" w:hAnsi="Verdana" w:cs="Courier New"/>
          <w:sz w:val="20"/>
          <w:szCs w:val="20"/>
        </w:rPr>
        <w:t>PRIHODI I PRIMICI</w:t>
      </w:r>
      <w:r w:rsidR="007221F7" w:rsidRPr="00BB0601">
        <w:rPr>
          <w:rFonts w:ascii="Verdana" w:eastAsia="Verdana" w:hAnsi="Verdana" w:cs="Courier New"/>
          <w:sz w:val="20"/>
          <w:szCs w:val="20"/>
        </w:rPr>
        <w:t>, RASHODI I IZDACI PRORAČUNA 202</w:t>
      </w:r>
      <w:r w:rsidR="00730574" w:rsidRPr="00BB0601">
        <w:rPr>
          <w:rFonts w:ascii="Verdana" w:eastAsia="Verdana" w:hAnsi="Verdana" w:cs="Courier New"/>
          <w:sz w:val="20"/>
          <w:szCs w:val="20"/>
        </w:rPr>
        <w:t>4</w:t>
      </w:r>
      <w:r w:rsidRPr="00BB0601">
        <w:rPr>
          <w:rFonts w:ascii="Verdana" w:eastAsia="Verdana" w:hAnsi="Verdana" w:cs="Courier New"/>
          <w:sz w:val="20"/>
          <w:szCs w:val="20"/>
        </w:rPr>
        <w:t xml:space="preserve">. </w:t>
      </w:r>
    </w:p>
    <w:p w14:paraId="247DE97F" w14:textId="77777777" w:rsidR="00D54569" w:rsidRPr="00BB0601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 w:rsidRPr="00BB0601">
        <w:rPr>
          <w:rFonts w:ascii="Verdana" w:eastAsia="Verdana" w:hAnsi="Verdana" w:cs="Courier New"/>
          <w:sz w:val="20"/>
          <w:szCs w:val="20"/>
        </w:rPr>
        <w:t>I PROJEKCIJE PRORAČUNA ZA 20</w:t>
      </w:r>
      <w:r w:rsidR="007221F7" w:rsidRPr="00BB0601">
        <w:rPr>
          <w:rFonts w:ascii="Verdana" w:eastAsia="Verdana" w:hAnsi="Verdana" w:cs="Courier New"/>
          <w:sz w:val="20"/>
          <w:szCs w:val="20"/>
        </w:rPr>
        <w:t>2</w:t>
      </w:r>
      <w:r w:rsidR="00730574" w:rsidRPr="00BB0601">
        <w:rPr>
          <w:rFonts w:ascii="Verdana" w:eastAsia="Verdana" w:hAnsi="Verdana" w:cs="Courier New"/>
          <w:sz w:val="20"/>
          <w:szCs w:val="20"/>
        </w:rPr>
        <w:t>5</w:t>
      </w:r>
      <w:r w:rsidRPr="00BB0601">
        <w:rPr>
          <w:rFonts w:ascii="Verdana" w:eastAsia="Verdana" w:hAnsi="Verdana" w:cs="Courier New"/>
          <w:sz w:val="20"/>
          <w:szCs w:val="20"/>
        </w:rPr>
        <w:t>.</w:t>
      </w:r>
      <w:r w:rsidR="00730574" w:rsidRPr="00BB0601">
        <w:rPr>
          <w:rFonts w:ascii="Verdana" w:eastAsia="Verdana" w:hAnsi="Verdana" w:cs="Courier New"/>
          <w:sz w:val="20"/>
          <w:szCs w:val="20"/>
        </w:rPr>
        <w:t>I</w:t>
      </w:r>
      <w:r w:rsidRPr="00BB0601">
        <w:rPr>
          <w:rFonts w:ascii="Verdana" w:eastAsia="Verdana" w:hAnsi="Verdana" w:cs="Courier New"/>
          <w:sz w:val="20"/>
          <w:szCs w:val="20"/>
        </w:rPr>
        <w:t xml:space="preserve"> 202</w:t>
      </w:r>
      <w:r w:rsidR="00730574" w:rsidRPr="00BB0601">
        <w:rPr>
          <w:rFonts w:ascii="Verdana" w:eastAsia="Verdana" w:hAnsi="Verdana" w:cs="Courier New"/>
          <w:sz w:val="20"/>
          <w:szCs w:val="20"/>
        </w:rPr>
        <w:t>6</w:t>
      </w:r>
      <w:r w:rsidRPr="00BB0601">
        <w:rPr>
          <w:rFonts w:ascii="Verdana" w:eastAsia="Verdana" w:hAnsi="Verdana" w:cs="Courier New"/>
          <w:sz w:val="20"/>
          <w:szCs w:val="20"/>
        </w:rPr>
        <w:t xml:space="preserve">. GODINU </w:t>
      </w:r>
      <w:r w:rsidR="00730574" w:rsidRPr="00BB0601">
        <w:rPr>
          <w:rFonts w:ascii="Verdana" w:eastAsia="Verdana" w:hAnsi="Verdana" w:cs="Courier New"/>
          <w:sz w:val="20"/>
          <w:szCs w:val="20"/>
        </w:rPr>
        <w:t>SU</w:t>
      </w:r>
      <w:r w:rsidRPr="00BB0601">
        <w:rPr>
          <w:rFonts w:ascii="Verdana" w:eastAsia="Verdana" w:hAnsi="Verdana" w:cs="Courier New"/>
          <w:sz w:val="20"/>
          <w:szCs w:val="20"/>
        </w:rPr>
        <w:t xml:space="preserve">                                         URAVNOTEŽENI</w:t>
      </w:r>
    </w:p>
    <w:p w14:paraId="0D73827C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3617E41" w14:textId="77777777" w:rsidR="00764668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E3547B8" w14:textId="77777777" w:rsidR="00764668" w:rsidRP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D0D6252" w14:textId="77777777" w:rsid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50B461F2" wp14:editId="71C46CFA">
            <wp:extent cx="5791200" cy="3752850"/>
            <wp:effectExtent l="0" t="0" r="19050" b="1905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819CA9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863D410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8CB4D64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A64DE88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AB9BBC8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265C039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48C1902" w14:textId="77777777" w:rsidR="00913D8E" w:rsidRDefault="00913D8E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DA83472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8F0E7A2" w14:textId="77777777" w:rsidR="00FF5466" w:rsidRDefault="00FF5466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CF31330" w14:textId="77777777" w:rsidR="00481350" w:rsidRDefault="00481350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433CA0A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1DAC4EA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C11256" w14:textId="77777777" w:rsidR="00A73025" w:rsidRDefault="00A73025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9E93219" w14:textId="77777777" w:rsidR="00A73025" w:rsidRDefault="00A73025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233E684" w14:textId="77777777" w:rsidR="00764668" w:rsidRPr="00BB0601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C1F0C21" w14:textId="0D69824D" w:rsidR="00D54569" w:rsidRPr="00BB0601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BB0601">
        <w:rPr>
          <w:rFonts w:ascii="Verdana" w:eastAsia="Verdana" w:hAnsi="Verdana" w:cs="Courier New"/>
          <w:b/>
          <w:sz w:val="20"/>
          <w:szCs w:val="20"/>
        </w:rPr>
        <w:t>PRIHODI</w:t>
      </w:r>
      <w:r w:rsidR="00BB0601">
        <w:rPr>
          <w:rFonts w:ascii="Verdana" w:eastAsia="Verdana" w:hAnsi="Verdana" w:cs="Courier New"/>
          <w:b/>
          <w:sz w:val="20"/>
          <w:szCs w:val="20"/>
        </w:rPr>
        <w:t xml:space="preserve"> I PRIMICI</w:t>
      </w:r>
      <w:r w:rsidRPr="00BB0601">
        <w:rPr>
          <w:rFonts w:ascii="Verdana" w:eastAsia="Verdana" w:hAnsi="Verdana" w:cs="Courier New"/>
          <w:b/>
          <w:sz w:val="20"/>
          <w:szCs w:val="20"/>
        </w:rPr>
        <w:t xml:space="preserve"> PRORAČUNA </w:t>
      </w:r>
      <w:r w:rsidR="007856BE" w:rsidRPr="00BB0601">
        <w:rPr>
          <w:rFonts w:ascii="Verdana" w:eastAsia="Verdana" w:hAnsi="Verdana" w:cs="Courier New"/>
          <w:b/>
          <w:sz w:val="20"/>
          <w:szCs w:val="20"/>
        </w:rPr>
        <w:t>ZA 202</w:t>
      </w:r>
      <w:r w:rsidR="00AF503E" w:rsidRPr="00BB0601">
        <w:rPr>
          <w:rFonts w:ascii="Verdana" w:eastAsia="Verdana" w:hAnsi="Verdana" w:cs="Courier New"/>
          <w:b/>
          <w:sz w:val="20"/>
          <w:szCs w:val="20"/>
        </w:rPr>
        <w:t>4</w:t>
      </w:r>
      <w:r w:rsidRPr="00BB0601">
        <w:rPr>
          <w:rFonts w:ascii="Verdana" w:eastAsia="Verdana" w:hAnsi="Verdana" w:cs="Courier New"/>
          <w:b/>
          <w:sz w:val="20"/>
          <w:szCs w:val="20"/>
        </w:rPr>
        <w:t>.</w:t>
      </w:r>
    </w:p>
    <w:p w14:paraId="6E210DFA" w14:textId="77777777" w:rsidR="00D54569" w:rsidRPr="00BB0601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10"/>
      </w:tblGrid>
      <w:tr w:rsidR="00BB0601" w:rsidRPr="00BB0601" w14:paraId="74458938" w14:textId="77777777" w:rsidTr="00D54569">
        <w:trPr>
          <w:trHeight w:val="45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22550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BB0601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E1A59" w14:textId="6C7141B0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BB0601"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A83800" w:rsidRPr="00BB0601">
              <w:rPr>
                <w:rFonts w:ascii="Verdana" w:eastAsia="Verdana" w:hAnsi="Verdana" w:cs="Courier New"/>
                <w:sz w:val="20"/>
                <w:szCs w:val="20"/>
              </w:rPr>
              <w:t>4</w:t>
            </w:r>
            <w:r w:rsidRPr="00BB0601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BB0601" w:rsidRPr="00BB0601" w14:paraId="723E52CE" w14:textId="77777777" w:rsidTr="00DE6D77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0EB9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9FE7" w14:textId="5A882C58" w:rsidR="00A73025" w:rsidRPr="00BB0601" w:rsidRDefault="00A83800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/>
                <w:bCs/>
                <w:sz w:val="18"/>
                <w:szCs w:val="18"/>
              </w:rPr>
              <w:t>3.171.598</w:t>
            </w:r>
            <w:r w:rsidR="00A73025" w:rsidRPr="00BB060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</w:tr>
      <w:tr w:rsidR="00BB0601" w:rsidRPr="00BB0601" w14:paraId="57E56259" w14:textId="77777777" w:rsidTr="008F7281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ACA2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B02C" w14:textId="4B125D2A" w:rsidR="00A73025" w:rsidRPr="00BB0601" w:rsidRDefault="00A83800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Cs/>
                <w:sz w:val="18"/>
                <w:szCs w:val="18"/>
              </w:rPr>
              <w:t>351.464</w:t>
            </w:r>
            <w:r w:rsidR="00A73025" w:rsidRPr="00BB060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BB0601" w:rsidRPr="00BB0601" w14:paraId="5E142E24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ACC6C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07C7" w14:textId="2EA8F02A" w:rsidR="00A73025" w:rsidRPr="00BB0601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Cs/>
                <w:sz w:val="18"/>
                <w:szCs w:val="18"/>
              </w:rPr>
              <w:t>2.</w:t>
            </w:r>
            <w:r w:rsidR="00A83800" w:rsidRPr="00BB0601">
              <w:rPr>
                <w:rFonts w:ascii="Tahoma" w:hAnsi="Tahoma" w:cs="Tahoma"/>
                <w:bCs/>
                <w:sz w:val="18"/>
                <w:szCs w:val="18"/>
              </w:rPr>
              <w:t>639.874</w:t>
            </w:r>
            <w:r w:rsidRPr="00BB060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BB0601" w:rsidRPr="00BB0601" w14:paraId="74E546EE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F48B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4DB1" w14:textId="3C124115" w:rsidR="00A73025" w:rsidRPr="00BB0601" w:rsidRDefault="00A83800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Cs/>
                <w:sz w:val="18"/>
                <w:szCs w:val="18"/>
              </w:rPr>
              <w:t>122.710</w:t>
            </w:r>
            <w:r w:rsidR="00A73025" w:rsidRPr="00BB060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BB0601" w:rsidRPr="00BB0601" w14:paraId="538AD7E7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0B2E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AC8" w14:textId="717642EE" w:rsidR="00A73025" w:rsidRPr="00BB0601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="00A83800" w:rsidRPr="00BB0601">
              <w:rPr>
                <w:rFonts w:ascii="Tahoma" w:hAnsi="Tahoma" w:cs="Tahoma"/>
                <w:bCs/>
                <w:sz w:val="18"/>
                <w:szCs w:val="18"/>
              </w:rPr>
              <w:t>6.890</w:t>
            </w:r>
            <w:r w:rsidRPr="00BB060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BB0601" w:rsidRPr="00BB0601" w14:paraId="7CD54260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8C77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 xml:space="preserve">68 Ostali prihodi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7904" w14:textId="77777777" w:rsidR="00A73025" w:rsidRPr="00BB0601" w:rsidRDefault="00A73025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Cs/>
                <w:sz w:val="18"/>
                <w:szCs w:val="18"/>
              </w:rPr>
              <w:t xml:space="preserve">660,00 </w:t>
            </w:r>
          </w:p>
        </w:tc>
      </w:tr>
      <w:tr w:rsidR="00BB0601" w:rsidRPr="00BB0601" w14:paraId="74CD5676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585C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8216" w14:textId="166EDF40" w:rsidR="00A73025" w:rsidRPr="00BB0601" w:rsidRDefault="00A83800" w:rsidP="00A8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/>
                <w:bCs/>
                <w:sz w:val="18"/>
                <w:szCs w:val="18"/>
              </w:rPr>
              <w:t>31.750</w:t>
            </w:r>
            <w:r w:rsidR="00A73025" w:rsidRPr="00BB060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</w:tr>
      <w:tr w:rsidR="00BB0601" w:rsidRPr="00BB0601" w14:paraId="6D5D3948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F038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 xml:space="preserve">71 Prihodi od prodaje </w:t>
            </w:r>
            <w:proofErr w:type="spellStart"/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>neproizvedene</w:t>
            </w:r>
            <w:proofErr w:type="spellEnd"/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 xml:space="preserve"> imovine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57DA" w14:textId="79FF09BE" w:rsidR="00A73025" w:rsidRPr="00BB0601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Cs/>
                <w:sz w:val="18"/>
                <w:szCs w:val="18"/>
              </w:rPr>
              <w:t>17.</w:t>
            </w:r>
            <w:r w:rsidR="00A83800" w:rsidRPr="00BB0601">
              <w:rPr>
                <w:rFonts w:ascii="Tahoma" w:hAnsi="Tahoma" w:cs="Tahoma"/>
                <w:bCs/>
                <w:sz w:val="18"/>
                <w:szCs w:val="18"/>
              </w:rPr>
              <w:t>97</w:t>
            </w:r>
            <w:r w:rsidRPr="00BB0601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</w:tr>
      <w:tr w:rsidR="00BB0601" w:rsidRPr="00BB0601" w14:paraId="64E957FA" w14:textId="77777777" w:rsidTr="00D54569">
        <w:trPr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B7F5C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sz w:val="18"/>
                <w:szCs w:val="18"/>
              </w:rPr>
              <w:t>72</w:t>
            </w:r>
            <w:r w:rsidRPr="00BB06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Prihodi od prodaje proizvedene dugotrajne imovine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BE2B" w14:textId="1A654A04" w:rsidR="00A73025" w:rsidRPr="00BB0601" w:rsidRDefault="00706763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0601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A73025" w:rsidRPr="00BB0601">
              <w:rPr>
                <w:rFonts w:ascii="Tahoma" w:hAnsi="Tahoma" w:cs="Tahoma"/>
                <w:bCs/>
                <w:sz w:val="18"/>
                <w:szCs w:val="18"/>
              </w:rPr>
              <w:t>3.780,00</w:t>
            </w:r>
          </w:p>
        </w:tc>
      </w:tr>
      <w:tr w:rsidR="00BB0601" w:rsidRPr="00BB0601" w14:paraId="6191448B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10249" w14:textId="77777777" w:rsidR="00A73025" w:rsidRPr="00BB0601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19D02" w14:textId="21950228" w:rsidR="00A73025" w:rsidRPr="00BB0601" w:rsidRDefault="00A73025" w:rsidP="00A73025">
            <w:pPr>
              <w:widowControl w:val="0"/>
              <w:tabs>
                <w:tab w:val="left" w:pos="1870"/>
                <w:tab w:val="right" w:pos="9014"/>
                <w:tab w:val="right" w:pos="10601"/>
                <w:tab w:val="right" w:pos="12188"/>
                <w:tab w:val="right" w:pos="13776"/>
                <w:tab w:val="right" w:pos="15363"/>
              </w:tabs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BB06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706763" w:rsidRPr="00BB0601">
              <w:rPr>
                <w:rFonts w:ascii="Times New Roman" w:hAnsi="Times New Roman"/>
                <w:b/>
                <w:bCs/>
                <w:sz w:val="24"/>
                <w:szCs w:val="24"/>
              </w:rPr>
              <w:t>3.203.348</w:t>
            </w:r>
            <w:r w:rsidRPr="00BB060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B0601" w:rsidRPr="00BB0601" w14:paraId="448B0A65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F7B24" w14:textId="22FD7905" w:rsidR="00A73025" w:rsidRPr="00BB0601" w:rsidRDefault="00706763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72A35" w14:textId="0591A0E8" w:rsidR="00A73025" w:rsidRPr="00BB0601" w:rsidRDefault="00706763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/>
                <w:sz w:val="18"/>
                <w:szCs w:val="18"/>
              </w:rPr>
              <w:t>658.000,00</w:t>
            </w:r>
          </w:p>
        </w:tc>
      </w:tr>
      <w:tr w:rsidR="00BB0601" w:rsidRPr="00BB0601" w14:paraId="2EFE635B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5B769" w14:textId="7EFD2F81" w:rsidR="00706763" w:rsidRPr="00BB0601" w:rsidRDefault="00706763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Cs/>
                <w:sz w:val="18"/>
                <w:szCs w:val="18"/>
              </w:rPr>
              <w:t>84 Primici od zaduživanja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A24B1" w14:textId="031A8BBD" w:rsidR="00706763" w:rsidRPr="00BB0601" w:rsidRDefault="00706763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Cs/>
                <w:sz w:val="18"/>
                <w:szCs w:val="18"/>
              </w:rPr>
              <w:t>658.000,00</w:t>
            </w:r>
          </w:p>
        </w:tc>
      </w:tr>
      <w:tr w:rsidR="00BB0601" w:rsidRPr="00BB0601" w14:paraId="741ECC29" w14:textId="77777777" w:rsidTr="00D54569">
        <w:trPr>
          <w:trHeight w:val="39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73442" w14:textId="143CBFFE" w:rsidR="00706763" w:rsidRPr="00BB0601" w:rsidRDefault="00706763" w:rsidP="007067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6+7+8  UKUPNO: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CADA8" w14:textId="3BD9E554" w:rsidR="00706763" w:rsidRPr="00BB0601" w:rsidRDefault="00706763" w:rsidP="0070676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B0601">
              <w:rPr>
                <w:rFonts w:ascii="Verdana" w:eastAsia="Verdana" w:hAnsi="Verdana" w:cs="Courier New"/>
                <w:b/>
                <w:sz w:val="18"/>
                <w:szCs w:val="18"/>
              </w:rPr>
              <w:t>3.861.348,00</w:t>
            </w:r>
          </w:p>
        </w:tc>
      </w:tr>
    </w:tbl>
    <w:p w14:paraId="251AA80C" w14:textId="77777777" w:rsidR="00D54569" w:rsidRPr="00AF503E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AADA8A8" w14:textId="77777777" w:rsidR="0079142A" w:rsidRPr="00AF503E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32BF5C5" w14:textId="77777777" w:rsidR="0079142A" w:rsidRPr="00D54569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8805E03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FA34B98" w14:textId="77777777" w:rsidR="00913D8E" w:rsidRPr="00FA086B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FA086B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lastRenderedPageBreak/>
        <w:drawing>
          <wp:inline distT="0" distB="0" distL="0" distR="0" wp14:anchorId="2DB1F99E" wp14:editId="468129D3">
            <wp:extent cx="5724525" cy="6553200"/>
            <wp:effectExtent l="0" t="0" r="0" b="0"/>
            <wp:docPr id="5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97CA07" w14:textId="77777777" w:rsidR="00CE2235" w:rsidRPr="00CE2235" w:rsidRDefault="00D54569" w:rsidP="00CE22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</w:t>
      </w:r>
      <w:r w:rsidRPr="00D54569">
        <w:rPr>
          <w:rFonts w:ascii="Verdana" w:eastAsia="Verdana" w:hAnsi="Verdana" w:cs="Courier New"/>
          <w:sz w:val="20"/>
          <w:szCs w:val="20"/>
        </w:rPr>
        <w:t xml:space="preserve">rihodi poslovanja obuhvaćaju: </w:t>
      </w:r>
    </w:p>
    <w:p w14:paraId="382E572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1a) Prihodi od poreza obuhvaćaju poreze koji su isključivi prihod Općine Tompojevci propisani Odlukom o porezima. </w:t>
      </w:r>
    </w:p>
    <w:p w14:paraId="64D1EFCB" w14:textId="77777777" w:rsidR="00D54569" w:rsidRPr="00BB0601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64E93847" w14:textId="6296EF5B" w:rsidR="00D54569" w:rsidRPr="00BB0601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BB0601">
        <w:rPr>
          <w:rFonts w:ascii="Verdana" w:eastAsia="Verdana" w:hAnsi="Verdana" w:cs="Courier New"/>
          <w:sz w:val="20"/>
          <w:szCs w:val="20"/>
        </w:rPr>
        <w:t xml:space="preserve">1b) Prihodi od </w:t>
      </w:r>
      <w:r w:rsidR="00E00083" w:rsidRPr="00BB0601">
        <w:rPr>
          <w:rFonts w:ascii="Verdana" w:eastAsia="Verdana" w:hAnsi="Verdana" w:cs="Courier New"/>
          <w:sz w:val="20"/>
          <w:szCs w:val="20"/>
        </w:rPr>
        <w:t>pomoći iz inozemstva (darovnice) i od subjekata unutar opće države</w:t>
      </w:r>
      <w:r w:rsidRPr="00BB0601">
        <w:rPr>
          <w:rFonts w:ascii="Verdana" w:eastAsia="Verdana" w:hAnsi="Verdana" w:cs="Courier New"/>
          <w:sz w:val="20"/>
          <w:szCs w:val="20"/>
        </w:rPr>
        <w:t xml:space="preserve"> uključuju prihode</w:t>
      </w:r>
      <w:r w:rsidR="007856BE" w:rsidRPr="00BB0601">
        <w:rPr>
          <w:rFonts w:ascii="Verdana" w:eastAsia="Verdana" w:hAnsi="Verdana" w:cs="Courier New"/>
          <w:sz w:val="20"/>
          <w:szCs w:val="20"/>
        </w:rPr>
        <w:t xml:space="preserve"> od pomoći iz državnog proračuna,</w:t>
      </w:r>
      <w:r w:rsidR="004F0CDE" w:rsidRPr="00BB0601">
        <w:rPr>
          <w:rFonts w:ascii="Verdana" w:eastAsia="Verdana" w:hAnsi="Verdana" w:cs="Courier New"/>
          <w:sz w:val="20"/>
          <w:szCs w:val="20"/>
        </w:rPr>
        <w:t xml:space="preserve"> </w:t>
      </w:r>
      <w:r w:rsidRPr="00BB0601">
        <w:rPr>
          <w:rFonts w:ascii="Verdana" w:eastAsia="Verdana" w:hAnsi="Verdana" w:cs="Courier New"/>
          <w:sz w:val="20"/>
          <w:szCs w:val="20"/>
        </w:rPr>
        <w:t>pomoći iz županijskog proračuna, pomoći od ostalih subjekata unutar opće države (HZZ-a, HZZO-a), kapitalne pomoći iz državnog proračuna i od ostalih izvanproračunskih korisnika državnog proračuna i kapitalne pomoći iz državnog proračuna temeljem prijenosa EU sredstava.</w:t>
      </w:r>
    </w:p>
    <w:p w14:paraId="6220ED7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24429066" w14:textId="586F9878" w:rsidR="00D54569" w:rsidRPr="00D54569" w:rsidRDefault="00E0008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1c) Prihode od imovine čine p</w:t>
      </w:r>
      <w:r w:rsidR="00D54569" w:rsidRPr="00D54569">
        <w:rPr>
          <w:rFonts w:ascii="Verdana" w:eastAsia="Verdana" w:hAnsi="Verdana" w:cs="Courier New"/>
          <w:sz w:val="20"/>
          <w:szCs w:val="20"/>
        </w:rPr>
        <w:t>rihodi od financijske imo</w:t>
      </w:r>
      <w:r w:rsidR="002B037B">
        <w:rPr>
          <w:rFonts w:ascii="Verdana" w:eastAsia="Verdana" w:hAnsi="Verdana" w:cs="Courier New"/>
          <w:sz w:val="20"/>
          <w:szCs w:val="20"/>
        </w:rPr>
        <w:t>vine (kamate na depozit po viđenju</w:t>
      </w:r>
      <w:r w:rsidR="00601217">
        <w:rPr>
          <w:rFonts w:ascii="Verdana" w:eastAsia="Verdana" w:hAnsi="Verdana" w:cs="Courier New"/>
          <w:sz w:val="20"/>
          <w:szCs w:val="20"/>
        </w:rPr>
        <w:t xml:space="preserve"> i zatezne kamate) i </w:t>
      </w:r>
      <w:r w:rsidR="00271A39">
        <w:rPr>
          <w:rFonts w:ascii="Verdana" w:eastAsia="Verdana" w:hAnsi="Verdana" w:cs="Courier New"/>
          <w:sz w:val="20"/>
          <w:szCs w:val="20"/>
        </w:rPr>
        <w:t>p</w:t>
      </w:r>
      <w:r w:rsidR="00601217">
        <w:rPr>
          <w:rFonts w:ascii="Verdana" w:eastAsia="Verdana" w:hAnsi="Verdana" w:cs="Courier New"/>
          <w:sz w:val="20"/>
          <w:szCs w:val="20"/>
        </w:rPr>
        <w:t>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od nefinancijske imovine (naknada od koncesije i pravo služnosti, prihod od zakupa i iznajmljivanja imovine, spomenička renta,  legalizacija objekata)</w:t>
      </w:r>
    </w:p>
    <w:p w14:paraId="28AA6C4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2D09983F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Prihodi od admin</w:t>
      </w:r>
      <w:r w:rsidR="0079142A">
        <w:rPr>
          <w:rFonts w:ascii="Verdana" w:eastAsia="Verdana" w:hAnsi="Verdana" w:cs="Courier New"/>
          <w:sz w:val="20"/>
          <w:szCs w:val="20"/>
        </w:rPr>
        <w:t>istrativnih pristojbi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po posebnim propisima, u koje se ubrajaju prihodi od administrativnih pristojbi (po Odluci vijeća, upravne pristojbe), prihodi po posebnim propisima (vodni doprinos, šumski doprinos,</w:t>
      </w:r>
      <w:r w:rsidR="002B037B">
        <w:rPr>
          <w:rFonts w:ascii="Verdana" w:eastAsia="Verdana" w:hAnsi="Verdana" w:cs="Courier New"/>
          <w:sz w:val="20"/>
          <w:szCs w:val="20"/>
        </w:rPr>
        <w:t xml:space="preserve"> komunalne naknade i komunalni doprinos</w:t>
      </w:r>
      <w:r w:rsidRPr="00D54569">
        <w:rPr>
          <w:rFonts w:ascii="Verdana" w:eastAsia="Verdana" w:hAnsi="Verdana" w:cs="Courier New"/>
          <w:sz w:val="20"/>
          <w:szCs w:val="20"/>
        </w:rPr>
        <w:t>)</w:t>
      </w:r>
    </w:p>
    <w:p w14:paraId="64226D4B" w14:textId="77777777" w:rsidR="00D54569" w:rsidRPr="00D54569" w:rsidRDefault="002B037B" w:rsidP="007D730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17C7D03B" w14:textId="61959C61" w:rsidR="00D54569" w:rsidRPr="00D54569" w:rsidRDefault="002B037B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</w:t>
      </w:r>
      <w:r w:rsidR="007D730E">
        <w:rPr>
          <w:rFonts w:ascii="Verdana" w:eastAsia="Verdana" w:hAnsi="Verdana" w:cs="Courier New"/>
          <w:sz w:val="20"/>
          <w:szCs w:val="20"/>
        </w:rPr>
        <w:t>e</w:t>
      </w:r>
      <w:r w:rsidR="00D54569" w:rsidRPr="00D54569">
        <w:rPr>
          <w:rFonts w:ascii="Verdana" w:eastAsia="Verdana" w:hAnsi="Verdana" w:cs="Courier New"/>
          <w:sz w:val="20"/>
          <w:szCs w:val="20"/>
        </w:rPr>
        <w:t>)</w:t>
      </w:r>
      <w:r>
        <w:rPr>
          <w:rFonts w:ascii="Verdana" w:eastAsia="Verdana" w:hAnsi="Verdana" w:cs="Courier New"/>
          <w:sz w:val="20"/>
          <w:szCs w:val="20"/>
        </w:rPr>
        <w:t xml:space="preserve"> Ostali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(</w:t>
      </w:r>
      <w:r w:rsidR="00D54569" w:rsidRPr="00D54569">
        <w:rPr>
          <w:rFonts w:ascii="Verdana" w:eastAsia="Verdana" w:hAnsi="Verdana" w:cs="Courier New"/>
          <w:sz w:val="20"/>
          <w:szCs w:val="20"/>
        </w:rPr>
        <w:t>prihodi ovršnog postupka)</w:t>
      </w:r>
    </w:p>
    <w:p w14:paraId="678C362E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B0AA76D" w14:textId="77777777" w:rsidR="00271A39" w:rsidRPr="00D54569" w:rsidRDefault="00271A3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9077F3F" w14:textId="77777777" w:rsidR="00D54569" w:rsidRPr="00CE2235" w:rsidRDefault="00D54569" w:rsidP="00CE22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od prodaje nefinancijske imovine </w:t>
      </w:r>
    </w:p>
    <w:p w14:paraId="7FA94303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2a) prihod od prodaje zemljišta u vlasništvu RH</w:t>
      </w:r>
    </w:p>
    <w:p w14:paraId="1B7CD3F6" w14:textId="77777777" w:rsidR="007D730E" w:rsidRDefault="007D730E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EDC403D" w14:textId="77777777" w:rsidR="00D54569" w:rsidRDefault="007D730E" w:rsidP="00CE2235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2b)</w:t>
      </w:r>
      <w:r w:rsidRPr="007D730E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prihod od prodaje proizvedene dugotrajne imovine</w:t>
      </w:r>
    </w:p>
    <w:p w14:paraId="6075B1AA" w14:textId="77777777" w:rsidR="00271A39" w:rsidRDefault="00271A39" w:rsidP="00CE2235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Verdana" w:hAnsi="Verdana" w:cs="Courier New"/>
          <w:sz w:val="20"/>
          <w:szCs w:val="20"/>
        </w:rPr>
      </w:pPr>
    </w:p>
    <w:p w14:paraId="5A315FD4" w14:textId="77777777" w:rsidR="00271A39" w:rsidRPr="00CE2235" w:rsidRDefault="00271A39" w:rsidP="00CE2235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Verdana" w:hAnsi="Verdana" w:cs="Courier New"/>
          <w:sz w:val="20"/>
          <w:szCs w:val="20"/>
        </w:rPr>
      </w:pPr>
    </w:p>
    <w:p w14:paraId="02991CA9" w14:textId="77777777" w:rsidR="00E64C06" w:rsidRPr="006A0754" w:rsidRDefault="00E64C0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46ED3139" w14:textId="0E9A1F65" w:rsidR="00D54569" w:rsidRDefault="002B037B" w:rsidP="00CE223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6A0754">
        <w:rPr>
          <w:rFonts w:ascii="Verdana" w:eastAsia="Verdana" w:hAnsi="Verdana" w:cs="Courier New"/>
          <w:b/>
          <w:sz w:val="20"/>
          <w:szCs w:val="20"/>
        </w:rPr>
        <w:t>RASHODI</w:t>
      </w:r>
      <w:r w:rsidR="00BB0601" w:rsidRPr="006A0754">
        <w:rPr>
          <w:rFonts w:ascii="Verdana" w:eastAsia="Verdana" w:hAnsi="Verdana" w:cs="Courier New"/>
          <w:b/>
          <w:sz w:val="20"/>
          <w:szCs w:val="20"/>
        </w:rPr>
        <w:t xml:space="preserve"> I IZDACI</w:t>
      </w:r>
      <w:r w:rsidRPr="006A0754">
        <w:rPr>
          <w:rFonts w:ascii="Verdana" w:eastAsia="Verdana" w:hAnsi="Verdana" w:cs="Courier New"/>
          <w:b/>
          <w:sz w:val="20"/>
          <w:szCs w:val="20"/>
        </w:rPr>
        <w:t xml:space="preserve"> PRORAČUNA ZA 202</w:t>
      </w:r>
      <w:r w:rsidR="00AF503E" w:rsidRPr="006A0754">
        <w:rPr>
          <w:rFonts w:ascii="Verdana" w:eastAsia="Verdana" w:hAnsi="Verdana" w:cs="Courier New"/>
          <w:b/>
          <w:sz w:val="20"/>
          <w:szCs w:val="20"/>
        </w:rPr>
        <w:t>4</w:t>
      </w:r>
      <w:r w:rsidR="00D54569" w:rsidRPr="006A0754">
        <w:rPr>
          <w:rFonts w:ascii="Verdana" w:eastAsia="Verdana" w:hAnsi="Verdana" w:cs="Courier New"/>
          <w:b/>
          <w:sz w:val="20"/>
          <w:szCs w:val="20"/>
        </w:rPr>
        <w:t>.</w:t>
      </w:r>
    </w:p>
    <w:p w14:paraId="7B71E782" w14:textId="77777777" w:rsidR="006A0754" w:rsidRPr="006A0754" w:rsidRDefault="006A0754" w:rsidP="00CE2235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127"/>
      </w:tblGrid>
      <w:tr w:rsidR="006A0754" w:rsidRPr="006A0754" w14:paraId="253E05CB" w14:textId="77777777" w:rsidTr="00CE2235">
        <w:trPr>
          <w:trHeight w:val="546"/>
        </w:trPr>
        <w:tc>
          <w:tcPr>
            <w:tcW w:w="6804" w:type="dxa"/>
            <w:shd w:val="clear" w:color="auto" w:fill="FFFFFF"/>
            <w:vAlign w:val="center"/>
          </w:tcPr>
          <w:p w14:paraId="14862989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6A0754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9F41E5E" w14:textId="7962FB10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6A0754"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BB0601" w:rsidRPr="006A0754">
              <w:rPr>
                <w:rFonts w:ascii="Verdana" w:eastAsia="Verdana" w:hAnsi="Verdana" w:cs="Courier New"/>
                <w:sz w:val="20"/>
                <w:szCs w:val="20"/>
              </w:rPr>
              <w:t>4</w:t>
            </w:r>
            <w:r w:rsidRPr="006A0754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</w:tr>
      <w:tr w:rsidR="006A0754" w:rsidRPr="006A0754" w14:paraId="418D5CCC" w14:textId="77777777" w:rsidTr="008D754E">
        <w:trPr>
          <w:trHeight w:val="263"/>
        </w:trPr>
        <w:tc>
          <w:tcPr>
            <w:tcW w:w="6804" w:type="dxa"/>
            <w:vAlign w:val="center"/>
          </w:tcPr>
          <w:p w14:paraId="57710A25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3 RASHODI POSLOVANJA </w:t>
            </w:r>
          </w:p>
        </w:tc>
        <w:tc>
          <w:tcPr>
            <w:tcW w:w="2127" w:type="dxa"/>
          </w:tcPr>
          <w:p w14:paraId="269F1FA2" w14:textId="1B818F13" w:rsidR="00A73025" w:rsidRPr="006A0754" w:rsidRDefault="00BB0601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/>
                <w:bCs/>
                <w:sz w:val="18"/>
                <w:szCs w:val="18"/>
              </w:rPr>
              <w:t>1.459.219,00</w:t>
            </w:r>
          </w:p>
        </w:tc>
      </w:tr>
      <w:tr w:rsidR="006A0754" w:rsidRPr="006A0754" w14:paraId="5B48A367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672DDADE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 xml:space="preserve">31 Rashodi za zaposlene </w:t>
            </w:r>
          </w:p>
        </w:tc>
        <w:tc>
          <w:tcPr>
            <w:tcW w:w="2127" w:type="dxa"/>
          </w:tcPr>
          <w:p w14:paraId="653271E7" w14:textId="4E2CCCD8" w:rsidR="00A73025" w:rsidRPr="006A0754" w:rsidRDefault="00BB060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426.220,00</w:t>
            </w:r>
          </w:p>
        </w:tc>
      </w:tr>
      <w:tr w:rsidR="006A0754" w:rsidRPr="006A0754" w14:paraId="0F218653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0CB18342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 xml:space="preserve">32 Materijalni rashodi </w:t>
            </w:r>
          </w:p>
        </w:tc>
        <w:tc>
          <w:tcPr>
            <w:tcW w:w="2127" w:type="dxa"/>
          </w:tcPr>
          <w:p w14:paraId="1105307B" w14:textId="6AD30765" w:rsidR="00A73025" w:rsidRPr="006A0754" w:rsidRDefault="00BB060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734.954</w:t>
            </w:r>
            <w:r w:rsidR="00A73025" w:rsidRPr="006A0754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6A0754" w:rsidRPr="006A0754" w14:paraId="36B69E5D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142AD501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 xml:space="preserve">34 Financijski rashodi </w:t>
            </w:r>
          </w:p>
        </w:tc>
        <w:tc>
          <w:tcPr>
            <w:tcW w:w="2127" w:type="dxa"/>
          </w:tcPr>
          <w:p w14:paraId="4A3A3957" w14:textId="4B798650" w:rsidR="00A73025" w:rsidRPr="006A0754" w:rsidRDefault="00BB060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13.530,</w:t>
            </w:r>
            <w:r w:rsidR="00A73025" w:rsidRPr="006A0754">
              <w:rPr>
                <w:rFonts w:ascii="Tahoma" w:hAnsi="Tahoma" w:cs="Tahoma"/>
                <w:bCs/>
                <w:sz w:val="18"/>
                <w:szCs w:val="18"/>
              </w:rPr>
              <w:t>00</w:t>
            </w:r>
          </w:p>
        </w:tc>
      </w:tr>
      <w:tr w:rsidR="006A0754" w:rsidRPr="006A0754" w14:paraId="115A05D9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16E634DF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>35 Subvencije</w:t>
            </w:r>
          </w:p>
        </w:tc>
        <w:tc>
          <w:tcPr>
            <w:tcW w:w="2127" w:type="dxa"/>
          </w:tcPr>
          <w:p w14:paraId="188715BF" w14:textId="0873A854" w:rsidR="00A73025" w:rsidRPr="006A0754" w:rsidRDefault="00BB060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38.</w:t>
            </w:r>
            <w:r w:rsidR="00A73025" w:rsidRPr="006A0754">
              <w:rPr>
                <w:rFonts w:ascii="Tahoma" w:hAnsi="Tahoma" w:cs="Tahoma"/>
                <w:bCs/>
                <w:sz w:val="18"/>
                <w:szCs w:val="18"/>
              </w:rPr>
              <w:t>000,00</w:t>
            </w:r>
          </w:p>
        </w:tc>
      </w:tr>
      <w:tr w:rsidR="006A0754" w:rsidRPr="006A0754" w14:paraId="6625D794" w14:textId="77777777" w:rsidTr="00CE2235">
        <w:trPr>
          <w:trHeight w:val="551"/>
        </w:trPr>
        <w:tc>
          <w:tcPr>
            <w:tcW w:w="6804" w:type="dxa"/>
            <w:vAlign w:val="center"/>
          </w:tcPr>
          <w:p w14:paraId="459F17EB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 xml:space="preserve">36 Pomoći dane u inozemstvo i unutar opće države </w:t>
            </w:r>
          </w:p>
        </w:tc>
        <w:tc>
          <w:tcPr>
            <w:tcW w:w="2127" w:type="dxa"/>
          </w:tcPr>
          <w:p w14:paraId="03657428" w14:textId="4ED3EE63" w:rsidR="00A73025" w:rsidRPr="006A0754" w:rsidRDefault="00A73025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bCs/>
                <w:sz w:val="18"/>
                <w:szCs w:val="18"/>
              </w:rPr>
              <w:t>1</w:t>
            </w:r>
            <w:r w:rsidR="00BB0601" w:rsidRPr="006A0754">
              <w:rPr>
                <w:rFonts w:ascii="Verdana" w:eastAsia="Verdana" w:hAnsi="Verdana" w:cs="Courier New"/>
                <w:bCs/>
                <w:sz w:val="18"/>
                <w:szCs w:val="18"/>
              </w:rPr>
              <w:t>10.835</w:t>
            </w:r>
            <w:r w:rsidRPr="006A0754"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</w:tr>
      <w:tr w:rsidR="006A0754" w:rsidRPr="006A0754" w14:paraId="25048DE6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54CC39AE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2127" w:type="dxa"/>
          </w:tcPr>
          <w:p w14:paraId="39CDBE26" w14:textId="64D0102D" w:rsidR="00A73025" w:rsidRPr="006A0754" w:rsidRDefault="00A73025" w:rsidP="00BB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="00BB0601" w:rsidRPr="006A0754">
              <w:rPr>
                <w:rFonts w:ascii="Tahoma" w:hAnsi="Tahoma" w:cs="Tahoma"/>
                <w:bCs/>
                <w:sz w:val="18"/>
                <w:szCs w:val="18"/>
              </w:rPr>
              <w:t>5.2</w:t>
            </w:r>
            <w:r w:rsidRPr="006A0754">
              <w:rPr>
                <w:rFonts w:ascii="Tahoma" w:hAnsi="Tahoma" w:cs="Tahoma"/>
                <w:bCs/>
                <w:sz w:val="18"/>
                <w:szCs w:val="18"/>
              </w:rPr>
              <w:t>30,00</w:t>
            </w:r>
          </w:p>
        </w:tc>
      </w:tr>
      <w:tr w:rsidR="006A0754" w:rsidRPr="006A0754" w14:paraId="432451AF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3AC47F15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 xml:space="preserve">38 Ostali rashodi </w:t>
            </w:r>
          </w:p>
        </w:tc>
        <w:tc>
          <w:tcPr>
            <w:tcW w:w="2127" w:type="dxa"/>
          </w:tcPr>
          <w:p w14:paraId="1F4C09E5" w14:textId="21009C52" w:rsidR="00A73025" w:rsidRPr="006A0754" w:rsidRDefault="00BB060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80.440</w:t>
            </w:r>
            <w:r w:rsidR="00A73025" w:rsidRPr="006A0754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6A0754" w:rsidRPr="006A0754" w14:paraId="1C46C9A3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635E88F4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2127" w:type="dxa"/>
          </w:tcPr>
          <w:p w14:paraId="3CB8E570" w14:textId="4C63BA08" w:rsidR="00A73025" w:rsidRPr="006A0754" w:rsidRDefault="00BB0601" w:rsidP="00ED188E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/>
                <w:bCs/>
                <w:sz w:val="18"/>
                <w:szCs w:val="18"/>
              </w:rPr>
              <w:t>2.308.129,</w:t>
            </w:r>
            <w:r w:rsidR="00A73025" w:rsidRPr="006A0754"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</w:tr>
      <w:tr w:rsidR="006A0754" w:rsidRPr="006A0754" w14:paraId="31BC7A79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62B244C9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 xml:space="preserve">42 Rashodi za nabavu proizvedene dugotrajne imovine </w:t>
            </w:r>
          </w:p>
        </w:tc>
        <w:tc>
          <w:tcPr>
            <w:tcW w:w="2127" w:type="dxa"/>
          </w:tcPr>
          <w:p w14:paraId="6C05B34D" w14:textId="2A4930A7" w:rsidR="00A73025" w:rsidRPr="006A0754" w:rsidRDefault="00BB060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2.291.959</w:t>
            </w:r>
            <w:r w:rsidR="00A73025" w:rsidRPr="006A0754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6A0754" w:rsidRPr="006A0754" w14:paraId="7D0B4C0A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26B34435" w14:textId="77777777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2127" w:type="dxa"/>
          </w:tcPr>
          <w:p w14:paraId="464C6D56" w14:textId="4B8BA37E" w:rsidR="00A73025" w:rsidRPr="006A0754" w:rsidRDefault="00A73025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BB0601" w:rsidRPr="006A0754">
              <w:rPr>
                <w:rFonts w:ascii="Tahoma" w:hAnsi="Tahoma" w:cs="Tahoma"/>
                <w:bCs/>
                <w:sz w:val="18"/>
                <w:szCs w:val="18"/>
              </w:rPr>
              <w:t>6.170</w:t>
            </w:r>
            <w:r w:rsidRPr="006A0754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</w:tr>
      <w:tr w:rsidR="00BB0601" w:rsidRPr="006A0754" w14:paraId="6AF6C0B7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2BD70499" w14:textId="34D06F9C" w:rsidR="00BB0601" w:rsidRPr="006A0754" w:rsidRDefault="00BB0601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5 IZDACI ZA FINANCIJSKU IMOVINU I OTPLATU ZAJMOVA</w:t>
            </w:r>
          </w:p>
        </w:tc>
        <w:tc>
          <w:tcPr>
            <w:tcW w:w="2127" w:type="dxa"/>
          </w:tcPr>
          <w:p w14:paraId="72D831AD" w14:textId="5A53E959" w:rsidR="00BB0601" w:rsidRPr="006A0754" w:rsidRDefault="00BB0601" w:rsidP="00ED188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A0754">
              <w:rPr>
                <w:rFonts w:ascii="Tahoma" w:hAnsi="Tahoma" w:cs="Tahoma"/>
                <w:b/>
                <w:sz w:val="18"/>
                <w:szCs w:val="18"/>
              </w:rPr>
              <w:t>94.000,00</w:t>
            </w:r>
          </w:p>
        </w:tc>
      </w:tr>
      <w:tr w:rsidR="00D65EBD" w:rsidRPr="00D65EBD" w14:paraId="4FBDD4A9" w14:textId="77777777" w:rsidTr="00CE2235">
        <w:trPr>
          <w:trHeight w:val="397"/>
        </w:trPr>
        <w:tc>
          <w:tcPr>
            <w:tcW w:w="6804" w:type="dxa"/>
            <w:vAlign w:val="center"/>
          </w:tcPr>
          <w:p w14:paraId="2020B789" w14:textId="66E44954" w:rsidR="00D65EBD" w:rsidRPr="00D65EBD" w:rsidRDefault="00D65EBD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D65EBD">
              <w:rPr>
                <w:rFonts w:ascii="Verdana" w:eastAsia="Verdana" w:hAnsi="Verdana" w:cs="Courier New"/>
                <w:sz w:val="18"/>
                <w:szCs w:val="18"/>
              </w:rPr>
              <w:t>54 Izdaci za otplatu glavnice primljenih zajmova</w:t>
            </w:r>
          </w:p>
        </w:tc>
        <w:tc>
          <w:tcPr>
            <w:tcW w:w="2127" w:type="dxa"/>
          </w:tcPr>
          <w:p w14:paraId="222DBD24" w14:textId="33D151F3" w:rsidR="00D65EBD" w:rsidRPr="00D65EBD" w:rsidRDefault="00D65EBD" w:rsidP="00ED188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65EBD">
              <w:rPr>
                <w:rFonts w:ascii="Tahoma" w:hAnsi="Tahoma" w:cs="Tahoma"/>
                <w:sz w:val="18"/>
                <w:szCs w:val="18"/>
              </w:rPr>
              <w:t>94.000,00</w:t>
            </w:r>
          </w:p>
        </w:tc>
      </w:tr>
      <w:tr w:rsidR="006A0754" w:rsidRPr="006A0754" w14:paraId="580356D7" w14:textId="77777777" w:rsidTr="00CE2235">
        <w:trPr>
          <w:trHeight w:val="454"/>
        </w:trPr>
        <w:tc>
          <w:tcPr>
            <w:tcW w:w="6804" w:type="dxa"/>
            <w:shd w:val="clear" w:color="auto" w:fill="FFFFFF"/>
            <w:vAlign w:val="center"/>
          </w:tcPr>
          <w:p w14:paraId="357106A2" w14:textId="0D83C050" w:rsidR="00A73025" w:rsidRPr="006A0754" w:rsidRDefault="00A73025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6A0754">
              <w:rPr>
                <w:rFonts w:ascii="Verdana" w:eastAsia="Verdana" w:hAnsi="Verdana" w:cs="Courier New"/>
                <w:b/>
                <w:sz w:val="18"/>
                <w:szCs w:val="18"/>
              </w:rPr>
              <w:t>UKUPNI RASHODI (3+4</w:t>
            </w:r>
            <w:r w:rsidR="00BB0601" w:rsidRPr="006A0754">
              <w:rPr>
                <w:rFonts w:ascii="Verdana" w:eastAsia="Verdana" w:hAnsi="Verdana" w:cs="Courier New"/>
                <w:b/>
                <w:sz w:val="18"/>
                <w:szCs w:val="18"/>
              </w:rPr>
              <w:t>+5</w:t>
            </w:r>
            <w:r w:rsidRPr="006A0754">
              <w:rPr>
                <w:rFonts w:ascii="Verdana" w:eastAsia="Verdana" w:hAnsi="Verdana" w:cs="Courier New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14:paraId="4C183703" w14:textId="2F2B4FD6" w:rsidR="00A73025" w:rsidRPr="006A0754" w:rsidRDefault="00BB0601" w:rsidP="00ED188E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754">
              <w:rPr>
                <w:rFonts w:ascii="Times New Roman" w:hAnsi="Times New Roman"/>
                <w:b/>
                <w:bCs/>
                <w:sz w:val="24"/>
                <w:szCs w:val="24"/>
              </w:rPr>
              <w:t>3.861.348</w:t>
            </w:r>
            <w:r w:rsidR="00A73025" w:rsidRPr="006A0754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3274D66" w14:textId="77777777" w:rsidR="00D54569" w:rsidRPr="00D54569" w:rsidRDefault="00B31A3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noProof/>
          <w:color w:val="FF0000"/>
          <w:sz w:val="20"/>
          <w:szCs w:val="20"/>
          <w:lang w:eastAsia="hr-HR"/>
        </w:rPr>
        <w:lastRenderedPageBreak/>
        <w:drawing>
          <wp:inline distT="0" distB="0" distL="0" distR="0" wp14:anchorId="6B16F9F5" wp14:editId="29A7C2E4">
            <wp:extent cx="5448300" cy="6534150"/>
            <wp:effectExtent l="0" t="0" r="0" b="0"/>
            <wp:docPr id="3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D10CF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FEBEB9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38BA346F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5A7A56B9" w14:textId="77777777" w:rsidR="00922649" w:rsidRDefault="0092264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225DCD3A" w14:textId="77777777" w:rsidR="00922649" w:rsidRDefault="0092264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0396F1A1" w14:textId="77777777" w:rsidR="00922649" w:rsidRPr="00D54569" w:rsidRDefault="0092264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50C072D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0203B67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1.Rashodi poslovanja obuhvaćaju </w:t>
      </w:r>
    </w:p>
    <w:p w14:paraId="637CE5A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4983F8E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1a) Rashodi za zaposlene čine rashodi za plaće (sredstva za plaće djelatnika općinske  uprave</w:t>
      </w:r>
      <w:r w:rsidR="00AF503E">
        <w:rPr>
          <w:rFonts w:ascii="Verdana" w:eastAsia="Verdana" w:hAnsi="Verdana" w:cs="Courier New"/>
          <w:sz w:val="20"/>
          <w:szCs w:val="20"/>
        </w:rPr>
        <w:t>,</w:t>
      </w:r>
      <w:r w:rsidR="00DE1C0F">
        <w:rPr>
          <w:rFonts w:ascii="Verdana" w:eastAsia="Verdana" w:hAnsi="Verdana" w:cs="Courier New"/>
          <w:sz w:val="20"/>
          <w:szCs w:val="20"/>
        </w:rPr>
        <w:t xml:space="preserve"> projekta zaželi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javnih radova), doprinosi za plaće (planir</w:t>
      </w:r>
      <w:r w:rsidR="00AF503E">
        <w:rPr>
          <w:rFonts w:ascii="Verdana" w:eastAsia="Verdana" w:hAnsi="Verdana" w:cs="Courier New"/>
          <w:sz w:val="20"/>
          <w:szCs w:val="20"/>
        </w:rPr>
        <w:t>ane obveze na ime doprinosa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na plaće), te ostali rashodi za zaposlene (rashodi za materijalna prava temeljem Pravilnika o materijalnim pravima djelatnika).</w:t>
      </w:r>
    </w:p>
    <w:p w14:paraId="66F0018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20780C9C" w14:textId="739C7DD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>1b) Materijalni rashodi obuhvaćaju rashode za usluge. Naknade troškova zaposlenima (službena putovanja, naknade za prijevoz za dolazak na posao i s posla, stručno usavršavanje zaposlenima i ostale naknade troškova zaposlenima). Rashodi za materijal i energiju (uredski materijal, materijal i sirovine, energija, materijal i dijelovi za tekuće i investicijsko održavanje, sitan inventar i auto gume i sl.) Rashodi za usluge</w:t>
      </w:r>
      <w:r w:rsidR="00EB19DD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 xml:space="preserve">(telefona i pošte, tekućeg investicijskog održavanje, usluge promidžbe i informiranja, komunalne usluge, zdravstvene i veterinarske usluge, računalne i ostale usluge) te ostali nespomenuti rashodi poslovanja (naknade za rad predstavničkih i izvršnih tijela, povjerenstva i sl., premija osiguranja, reprezentacija, članarina, pristojbe i naknade i ostali nespomenuti rashodi poslovanja). </w:t>
      </w:r>
    </w:p>
    <w:p w14:paraId="388891B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A4AF989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1c) U okviru Financijskih rashoda planirani su rashodi za bankarske usluge i usluge platnog prometa, kamate i ostale nespomenute financijske rashode.</w:t>
      </w:r>
    </w:p>
    <w:p w14:paraId="5953F7BA" w14:textId="77777777" w:rsidR="00EB19DD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5537730" w14:textId="77777777" w:rsidR="00EB19DD" w:rsidRPr="00D54569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1d) Subvencije se odnose na </w:t>
      </w:r>
      <w:r w:rsidR="00DC4D97">
        <w:rPr>
          <w:rFonts w:ascii="Verdana" w:eastAsia="Verdana" w:hAnsi="Verdana" w:cs="Courier New"/>
          <w:sz w:val="20"/>
          <w:szCs w:val="20"/>
        </w:rPr>
        <w:t>program potpore u poljoprivredi</w:t>
      </w:r>
      <w:r>
        <w:rPr>
          <w:rFonts w:ascii="Verdana" w:eastAsia="Verdana" w:hAnsi="Verdana" w:cs="Courier New"/>
          <w:sz w:val="20"/>
          <w:szCs w:val="20"/>
        </w:rPr>
        <w:t xml:space="preserve"> i </w:t>
      </w:r>
      <w:r w:rsidR="00FA35AC">
        <w:rPr>
          <w:rFonts w:ascii="Verdana" w:eastAsia="Verdana" w:hAnsi="Verdana" w:cs="Courier New"/>
          <w:sz w:val="20"/>
          <w:szCs w:val="20"/>
        </w:rPr>
        <w:t>gospodarstvu</w:t>
      </w:r>
      <w:r w:rsidR="00DC4D97">
        <w:rPr>
          <w:rFonts w:ascii="Verdana" w:eastAsia="Verdana" w:hAnsi="Verdana" w:cs="Courier New"/>
          <w:sz w:val="20"/>
          <w:szCs w:val="20"/>
        </w:rPr>
        <w:t>.</w:t>
      </w:r>
    </w:p>
    <w:p w14:paraId="6E100D0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78D0C644" w14:textId="39BB620C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Pomoći dane u inozemstvo i unutar opće države odnose se na  Ugovor o sufinanciranju provedbe medijske kampanje borbe protiv ovisnosti i duhanskim proizvodima, alkoholu i drogama na području VSŽ i projekt besplatnog organiziranja  prijevoza umirovljenika</w:t>
      </w:r>
      <w:r w:rsidR="0079142A">
        <w:rPr>
          <w:rFonts w:ascii="Verdana" w:eastAsia="Verdana" w:hAnsi="Verdana" w:cs="Courier New"/>
          <w:sz w:val="20"/>
          <w:szCs w:val="20"/>
        </w:rPr>
        <w:t xml:space="preserve">, prijenos </w:t>
      </w:r>
      <w:r w:rsidR="00FA35AC">
        <w:rPr>
          <w:rFonts w:ascii="Verdana" w:eastAsia="Verdana" w:hAnsi="Verdana" w:cs="Courier New"/>
          <w:sz w:val="20"/>
          <w:szCs w:val="20"/>
        </w:rPr>
        <w:t>sredstava</w:t>
      </w:r>
      <w:r w:rsidR="0079142A">
        <w:rPr>
          <w:rFonts w:ascii="Verdana" w:eastAsia="Verdana" w:hAnsi="Verdana" w:cs="Courier New"/>
          <w:sz w:val="20"/>
          <w:szCs w:val="20"/>
        </w:rPr>
        <w:t xml:space="preserve"> za rad </w:t>
      </w:r>
      <w:r w:rsidR="00FA35AC">
        <w:rPr>
          <w:rFonts w:ascii="Verdana" w:eastAsia="Verdana" w:hAnsi="Verdana" w:cs="Courier New"/>
          <w:sz w:val="20"/>
          <w:szCs w:val="20"/>
        </w:rPr>
        <w:t>proračunskog</w:t>
      </w:r>
      <w:r w:rsidR="0079142A">
        <w:rPr>
          <w:rFonts w:ascii="Verdana" w:eastAsia="Verdana" w:hAnsi="Verdana" w:cs="Courier New"/>
          <w:sz w:val="20"/>
          <w:szCs w:val="20"/>
        </w:rPr>
        <w:t xml:space="preserve"> korisnika (RA </w:t>
      </w:r>
      <w:r w:rsidR="00DC4D97">
        <w:rPr>
          <w:rFonts w:ascii="Verdana" w:eastAsia="Verdana" w:hAnsi="Verdana" w:cs="Courier New"/>
          <w:sz w:val="20"/>
          <w:szCs w:val="20"/>
        </w:rPr>
        <w:t>TINTL)</w:t>
      </w:r>
      <w:r w:rsidR="004C7BE2" w:rsidRPr="004C7BE2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AF503E">
        <w:rPr>
          <w:rFonts w:ascii="Verdana" w:eastAsia="Times New Roman" w:hAnsi="Verdana" w:cs="Courier New"/>
          <w:sz w:val="20"/>
          <w:szCs w:val="20"/>
          <w:lang w:eastAsia="hr-HR"/>
        </w:rPr>
        <w:t>, sufinanciranje izgradnje</w:t>
      </w:r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 xml:space="preserve"> ceste</w:t>
      </w:r>
      <w:r w:rsidR="00AF503E">
        <w:rPr>
          <w:rFonts w:ascii="Verdana" w:eastAsia="Times New Roman" w:hAnsi="Verdana" w:cs="Courier New"/>
          <w:sz w:val="20"/>
          <w:szCs w:val="20"/>
          <w:lang w:eastAsia="hr-HR"/>
        </w:rPr>
        <w:t xml:space="preserve"> Mikluševci-Čakovci i parkiralište</w:t>
      </w:r>
      <w:r w:rsidR="00D65EBD">
        <w:rPr>
          <w:rFonts w:ascii="Verdana" w:eastAsia="Times New Roman" w:hAnsi="Verdana" w:cs="Courier New"/>
          <w:sz w:val="20"/>
          <w:szCs w:val="20"/>
          <w:lang w:eastAsia="hr-HR"/>
        </w:rPr>
        <w:t xml:space="preserve"> na GKG</w:t>
      </w:r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 xml:space="preserve"> u </w:t>
      </w:r>
      <w:proofErr w:type="spellStart"/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4C7BE2" w:rsidRPr="00D57232">
        <w:rPr>
          <w:rFonts w:ascii="Verdana" w:eastAsia="Times New Roman" w:hAnsi="Verdana" w:cs="Courier New"/>
          <w:sz w:val="20"/>
          <w:szCs w:val="20"/>
          <w:lang w:eastAsia="hr-HR"/>
        </w:rPr>
        <w:t>, sufinanciranje izrade projektne dokumentacije za rekonstrukci</w:t>
      </w:r>
      <w:r w:rsidR="004C7BE2">
        <w:rPr>
          <w:rFonts w:ascii="Verdana" w:eastAsia="Times New Roman" w:hAnsi="Verdana" w:cs="Courier New"/>
          <w:sz w:val="20"/>
          <w:szCs w:val="20"/>
          <w:lang w:eastAsia="hr-HR"/>
        </w:rPr>
        <w:t xml:space="preserve">ju vodovodnu mreže u </w:t>
      </w:r>
      <w:proofErr w:type="spellStart"/>
      <w:r w:rsidR="004C7BE2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DC4D97">
        <w:rPr>
          <w:rFonts w:ascii="Verdana" w:eastAsia="Verdana" w:hAnsi="Verdana" w:cs="Courier New"/>
          <w:sz w:val="20"/>
          <w:szCs w:val="20"/>
        </w:rPr>
        <w:t>.</w:t>
      </w:r>
    </w:p>
    <w:p w14:paraId="7C53214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1C3177E4" w14:textId="77777777" w:rsidR="00D54569" w:rsidRPr="00D42FE3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42FE3">
        <w:rPr>
          <w:rFonts w:ascii="Verdana" w:eastAsia="Verdana" w:hAnsi="Verdana" w:cs="Courier New"/>
          <w:sz w:val="20"/>
          <w:szCs w:val="20"/>
        </w:rPr>
        <w:t xml:space="preserve">1e) Naknade građanima </w:t>
      </w:r>
      <w:r w:rsidR="00DC4D97" w:rsidRPr="00D42FE3">
        <w:rPr>
          <w:rFonts w:ascii="Verdana" w:eastAsia="Verdana" w:hAnsi="Verdana" w:cs="Courier New"/>
          <w:sz w:val="20"/>
          <w:szCs w:val="20"/>
        </w:rPr>
        <w:t>i kućanstvima obuhvaćaju rashode</w:t>
      </w:r>
      <w:r w:rsidRPr="00D42FE3">
        <w:rPr>
          <w:rFonts w:ascii="Verdana" w:eastAsia="Verdana" w:hAnsi="Verdana" w:cs="Courier New"/>
          <w:sz w:val="20"/>
          <w:szCs w:val="20"/>
        </w:rPr>
        <w:t xml:space="preserve"> na ime pomoći i naknada iz Socijalnog programa. Stipendiranje svih studenata preddiplomskih i diplomskih, stručnih i s</w:t>
      </w:r>
      <w:r w:rsidR="00922649" w:rsidRPr="00D42FE3">
        <w:rPr>
          <w:rFonts w:ascii="Verdana" w:eastAsia="Verdana" w:hAnsi="Verdana" w:cs="Courier New"/>
          <w:sz w:val="20"/>
          <w:szCs w:val="20"/>
        </w:rPr>
        <w:t>veučilišnih studija</w:t>
      </w:r>
      <w:r w:rsidRPr="00D42FE3">
        <w:rPr>
          <w:rFonts w:ascii="Verdana" w:eastAsia="Verdana" w:hAnsi="Verdana" w:cs="Courier New"/>
          <w:sz w:val="20"/>
          <w:szCs w:val="20"/>
        </w:rPr>
        <w:t>.</w:t>
      </w:r>
    </w:p>
    <w:p w14:paraId="30D1357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4FD666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1f)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Ostali rashodi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-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Donacije (naknade za rad udru</w:t>
      </w:r>
      <w:r w:rsidR="00DC4D97">
        <w:rPr>
          <w:rFonts w:ascii="Verdana" w:eastAsia="Verdana" w:hAnsi="Verdana" w:cs="Courier New"/>
          <w:color w:val="000000"/>
          <w:sz w:val="20"/>
          <w:szCs w:val="20"/>
        </w:rPr>
        <w:t xml:space="preserve">ga u kulturi, </w:t>
      </w:r>
      <w:r w:rsidR="00FA35AC">
        <w:rPr>
          <w:rFonts w:ascii="Verdana" w:eastAsia="Verdana" w:hAnsi="Verdana" w:cs="Courier New"/>
          <w:color w:val="000000"/>
          <w:sz w:val="20"/>
          <w:szCs w:val="20"/>
        </w:rPr>
        <w:t>sportu,</w:t>
      </w:r>
      <w:r w:rsidR="00FA35AC"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javne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potrebe ostalih udruga, razvoj civilnog društva, predškolski odgoj i osnovnoškolsko obrazovanje, financiranje političkih stranaka i sl.)</w:t>
      </w:r>
    </w:p>
    <w:p w14:paraId="684D880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0167765E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FA086B">
        <w:rPr>
          <w:rFonts w:ascii="Verdana" w:eastAsia="Verdana" w:hAnsi="Verdana" w:cs="Courier New"/>
          <w:sz w:val="20"/>
          <w:szCs w:val="20"/>
        </w:rPr>
        <w:t xml:space="preserve">2. Rashodi za nabavu nefinancijske imovine </w:t>
      </w:r>
    </w:p>
    <w:p w14:paraId="7934AC1E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74BBEF09" w14:textId="646FC803" w:rsidR="00922649" w:rsidRPr="00922649" w:rsidRDefault="00D54569" w:rsidP="00922649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  <w:r w:rsidRPr="00FA086B">
        <w:rPr>
          <w:rFonts w:ascii="Verdana" w:eastAsia="Verdana" w:hAnsi="Verdana" w:cs="Courier New"/>
          <w:sz w:val="20"/>
          <w:szCs w:val="20"/>
        </w:rPr>
        <w:t xml:space="preserve">2a) </w:t>
      </w:r>
      <w:r w:rsidR="00922649" w:rsidRPr="009F6721">
        <w:rPr>
          <w:rFonts w:eastAsia="Verdana" w:cs="Calibri"/>
        </w:rPr>
        <w:t xml:space="preserve">Rashodi planirani za nabavu proizvedene dugotrajne imovine </w:t>
      </w:r>
      <w:r w:rsidR="00922649" w:rsidRPr="009F6721">
        <w:rPr>
          <w:rFonts w:cs="Calibri"/>
        </w:rPr>
        <w:t>odnose se na r</w:t>
      </w:r>
      <w:r w:rsidR="00922649" w:rsidRPr="009F6721">
        <w:rPr>
          <w:rFonts w:eastAsia="Verdana" w:cs="Calibri"/>
        </w:rPr>
        <w:t xml:space="preserve">ashode za nabavu </w:t>
      </w:r>
      <w:r w:rsidR="00922649" w:rsidRPr="00922649">
        <w:rPr>
          <w:rFonts w:ascii="Verdana" w:eastAsia="Verdana" w:hAnsi="Verdana" w:cs="Calibri"/>
          <w:sz w:val="20"/>
          <w:szCs w:val="20"/>
        </w:rPr>
        <w:t xml:space="preserve">proizvedene dugotrajne imovine obuhvaćaju: rashode za građevinske objekte (izgradnju dječjeg vrtića u </w:t>
      </w:r>
      <w:proofErr w:type="spellStart"/>
      <w:r w:rsidR="00922649" w:rsidRPr="00922649">
        <w:rPr>
          <w:rFonts w:ascii="Verdana" w:eastAsia="Verdana" w:hAnsi="Verdana" w:cs="Calibri"/>
          <w:sz w:val="20"/>
          <w:szCs w:val="20"/>
        </w:rPr>
        <w:t>Tompojevcima</w:t>
      </w:r>
      <w:proofErr w:type="spellEnd"/>
      <w:r w:rsidR="00922649" w:rsidRPr="00922649">
        <w:rPr>
          <w:rFonts w:ascii="Verdana" w:eastAsia="Verdana" w:hAnsi="Verdana" w:cs="Calibri"/>
          <w:sz w:val="20"/>
          <w:szCs w:val="20"/>
        </w:rPr>
        <w:t>, izgradnju i</w:t>
      </w:r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 xml:space="preserve">  opremanje dječjeg igrališta u Čakovci</w:t>
      </w:r>
      <w:r w:rsidR="00D42FE3">
        <w:rPr>
          <w:rFonts w:ascii="Verdana" w:eastAsia="Times New Roman" w:hAnsi="Verdana" w:cs="Calibri"/>
          <w:sz w:val="20"/>
          <w:szCs w:val="20"/>
          <w:lang w:eastAsia="hr-HR"/>
        </w:rPr>
        <w:t>ma</w:t>
      </w:r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 xml:space="preserve">,  radovi na sportskoj svlačionici i izgradnja </w:t>
      </w:r>
      <w:r w:rsidR="00D65EBD" w:rsidRPr="00922649">
        <w:rPr>
          <w:rFonts w:ascii="Verdana" w:eastAsia="Times New Roman" w:hAnsi="Verdana" w:cs="Calibri"/>
          <w:sz w:val="20"/>
          <w:szCs w:val="20"/>
          <w:lang w:eastAsia="hr-HR"/>
        </w:rPr>
        <w:t>parkirališta</w:t>
      </w:r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 xml:space="preserve"> Tompojevci, izgradnja boćališta  i višenamjenskog sportskog igrališta u </w:t>
      </w:r>
      <w:proofErr w:type="spellStart"/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>Tompojevcima</w:t>
      </w:r>
      <w:proofErr w:type="spellEnd"/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>,</w:t>
      </w:r>
      <w:r w:rsidR="00D42FE3">
        <w:rPr>
          <w:rFonts w:ascii="Verdana" w:eastAsia="Times New Roman" w:hAnsi="Verdana" w:cs="Calibri"/>
          <w:sz w:val="20"/>
          <w:szCs w:val="20"/>
          <w:lang w:eastAsia="hr-HR"/>
        </w:rPr>
        <w:t xml:space="preserve"> radovi na sportskoj </w:t>
      </w:r>
      <w:r w:rsidR="00D65EBD">
        <w:rPr>
          <w:rFonts w:ascii="Verdana" w:eastAsia="Times New Roman" w:hAnsi="Verdana" w:cs="Calibri"/>
          <w:sz w:val="20"/>
          <w:szCs w:val="20"/>
          <w:lang w:eastAsia="hr-HR"/>
        </w:rPr>
        <w:t>svlačionici</w:t>
      </w:r>
      <w:r w:rsidR="00D42FE3">
        <w:rPr>
          <w:rFonts w:ascii="Verdana" w:eastAsia="Times New Roman" w:hAnsi="Verdana" w:cs="Calibri"/>
          <w:sz w:val="20"/>
          <w:szCs w:val="20"/>
          <w:lang w:eastAsia="hr-HR"/>
        </w:rPr>
        <w:t xml:space="preserve"> u </w:t>
      </w:r>
      <w:proofErr w:type="spellStart"/>
      <w:r w:rsidR="00D42FE3">
        <w:rPr>
          <w:rFonts w:ascii="Verdana" w:eastAsia="Times New Roman" w:hAnsi="Verdana" w:cs="Calibri"/>
          <w:sz w:val="20"/>
          <w:szCs w:val="20"/>
          <w:lang w:eastAsia="hr-HR"/>
        </w:rPr>
        <w:t>Mikluševcima</w:t>
      </w:r>
      <w:proofErr w:type="spellEnd"/>
      <w:r w:rsidR="00D42FE3">
        <w:rPr>
          <w:rFonts w:ascii="Verdana" w:eastAsia="Times New Roman" w:hAnsi="Verdana" w:cs="Calibri"/>
          <w:sz w:val="20"/>
          <w:szCs w:val="20"/>
          <w:lang w:eastAsia="hr-HR"/>
        </w:rPr>
        <w:t xml:space="preserve">, izgradnja kulturnog centra u </w:t>
      </w:r>
      <w:proofErr w:type="spellStart"/>
      <w:r w:rsidR="00D42FE3">
        <w:rPr>
          <w:rFonts w:ascii="Verdana" w:eastAsia="Times New Roman" w:hAnsi="Verdana" w:cs="Calibri"/>
          <w:sz w:val="20"/>
          <w:szCs w:val="20"/>
          <w:lang w:eastAsia="hr-HR"/>
        </w:rPr>
        <w:t>Mikluševcima</w:t>
      </w:r>
      <w:proofErr w:type="spellEnd"/>
      <w:r w:rsidR="00D42FE3">
        <w:rPr>
          <w:rFonts w:ascii="Verdana" w:eastAsia="Times New Roman" w:hAnsi="Verdana" w:cs="Calibri"/>
          <w:sz w:val="20"/>
          <w:szCs w:val="20"/>
          <w:lang w:eastAsia="hr-HR"/>
        </w:rPr>
        <w:t xml:space="preserve">, radovi na sportskoj </w:t>
      </w:r>
      <w:r w:rsidR="00D65EBD">
        <w:rPr>
          <w:rFonts w:ascii="Verdana" w:eastAsia="Times New Roman" w:hAnsi="Verdana" w:cs="Calibri"/>
          <w:sz w:val="20"/>
          <w:szCs w:val="20"/>
          <w:lang w:eastAsia="hr-HR"/>
        </w:rPr>
        <w:t>svlačionici</w:t>
      </w:r>
      <w:r w:rsidR="00D42FE3">
        <w:rPr>
          <w:rFonts w:ascii="Verdana" w:eastAsia="Times New Roman" w:hAnsi="Verdana" w:cs="Calibri"/>
          <w:sz w:val="20"/>
          <w:szCs w:val="20"/>
          <w:lang w:eastAsia="hr-HR"/>
        </w:rPr>
        <w:t xml:space="preserve"> u </w:t>
      </w:r>
      <w:proofErr w:type="spellStart"/>
      <w:r w:rsidR="00D42FE3">
        <w:rPr>
          <w:rFonts w:ascii="Verdana" w:eastAsia="Times New Roman" w:hAnsi="Verdana" w:cs="Calibri"/>
          <w:sz w:val="20"/>
          <w:szCs w:val="20"/>
          <w:lang w:eastAsia="hr-HR"/>
        </w:rPr>
        <w:t>Berku</w:t>
      </w:r>
      <w:proofErr w:type="spellEnd"/>
      <w:r w:rsidR="00D42FE3">
        <w:rPr>
          <w:rFonts w:ascii="Verdana" w:eastAsia="Times New Roman" w:hAnsi="Verdana" w:cs="Calibri"/>
          <w:sz w:val="20"/>
          <w:szCs w:val="20"/>
          <w:lang w:eastAsia="hr-HR"/>
        </w:rPr>
        <w:t>,</w:t>
      </w:r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 xml:space="preserve"> rekonstrukciju ceste</w:t>
      </w:r>
      <w:r w:rsidR="00D42FE3">
        <w:rPr>
          <w:rFonts w:ascii="Verdana" w:eastAsia="Times New Roman" w:hAnsi="Verdana" w:cs="Calibri"/>
          <w:sz w:val="20"/>
          <w:szCs w:val="20"/>
          <w:lang w:eastAsia="hr-HR"/>
        </w:rPr>
        <w:t>-</w:t>
      </w:r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 xml:space="preserve"> </w:t>
      </w:r>
      <w:r w:rsidR="00D42FE3">
        <w:rPr>
          <w:rFonts w:ascii="Verdana" w:eastAsia="Times New Roman" w:hAnsi="Verdana" w:cs="Calibri"/>
          <w:sz w:val="20"/>
          <w:szCs w:val="20"/>
          <w:lang w:eastAsia="hr-HR"/>
        </w:rPr>
        <w:t>prilaz spomen obilježju u Čakovcima</w:t>
      </w:r>
      <w:r w:rsidR="00922649" w:rsidRPr="00922649">
        <w:rPr>
          <w:rFonts w:ascii="Verdana" w:eastAsia="Times New Roman" w:hAnsi="Verdana" w:cs="Calibri"/>
          <w:sz w:val="20"/>
          <w:szCs w:val="20"/>
          <w:lang w:eastAsia="hr-HR"/>
        </w:rPr>
        <w:t>, rekonstrukcija stanova u Čakovcima, sanacija zgrade DVD-a Bokšić, postavljane video nadzora na grobljima.</w:t>
      </w:r>
    </w:p>
    <w:p w14:paraId="68CE267A" w14:textId="77777777" w:rsidR="00922649" w:rsidRPr="00922649" w:rsidRDefault="00922649" w:rsidP="0092264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alibri"/>
          <w:sz w:val="20"/>
          <w:szCs w:val="20"/>
        </w:rPr>
      </w:pPr>
      <w:r w:rsidRPr="00922649">
        <w:rPr>
          <w:rFonts w:ascii="Verdana" w:eastAsia="Verdana" w:hAnsi="Verdana" w:cs="Calibri"/>
          <w:sz w:val="20"/>
          <w:szCs w:val="20"/>
        </w:rPr>
        <w:t>Rashodi za nematerijalnu proizvedenu imovinu ( ulaganje u računalne programe, i</w:t>
      </w:r>
      <w:r w:rsidR="00D42FE3">
        <w:rPr>
          <w:rFonts w:ascii="Verdana" w:eastAsia="Verdana" w:hAnsi="Verdana" w:cs="Calibri"/>
          <w:sz w:val="20"/>
          <w:szCs w:val="20"/>
        </w:rPr>
        <w:t>zrada projektne dokumentacije</w:t>
      </w:r>
      <w:r w:rsidRPr="00922649">
        <w:rPr>
          <w:rFonts w:ascii="Verdana" w:eastAsia="Verdana" w:hAnsi="Verdana" w:cs="Calibri"/>
          <w:sz w:val="20"/>
          <w:szCs w:val="20"/>
        </w:rPr>
        <w:t xml:space="preserve"> za turistički </w:t>
      </w:r>
      <w:proofErr w:type="spellStart"/>
      <w:r w:rsidRPr="00922649">
        <w:rPr>
          <w:rFonts w:ascii="Verdana" w:eastAsia="Verdana" w:hAnsi="Verdana" w:cs="Calibri"/>
          <w:sz w:val="20"/>
          <w:szCs w:val="20"/>
        </w:rPr>
        <w:t>posjetiteljski</w:t>
      </w:r>
      <w:proofErr w:type="spellEnd"/>
      <w:r w:rsidRPr="00922649">
        <w:rPr>
          <w:rFonts w:ascii="Verdana" w:eastAsia="Verdana" w:hAnsi="Verdana" w:cs="Calibri"/>
          <w:sz w:val="20"/>
          <w:szCs w:val="20"/>
        </w:rPr>
        <w:t xml:space="preserve"> centar </w:t>
      </w:r>
      <w:proofErr w:type="spellStart"/>
      <w:r w:rsidRPr="00922649">
        <w:rPr>
          <w:rFonts w:ascii="Verdana" w:eastAsia="Verdana" w:hAnsi="Verdana" w:cs="Calibri"/>
          <w:sz w:val="20"/>
          <w:szCs w:val="20"/>
        </w:rPr>
        <w:t>Kercel</w:t>
      </w:r>
      <w:proofErr w:type="spellEnd"/>
      <w:r w:rsidRPr="00922649">
        <w:rPr>
          <w:rFonts w:ascii="Verdana" w:eastAsia="Verdana" w:hAnsi="Verdana" w:cs="Calibri"/>
          <w:sz w:val="20"/>
          <w:szCs w:val="20"/>
        </w:rPr>
        <w:t xml:space="preserve"> u Čakovcima).</w:t>
      </w:r>
    </w:p>
    <w:p w14:paraId="47A6FA0D" w14:textId="7A808221" w:rsidR="00922649" w:rsidRPr="00462111" w:rsidRDefault="00922649" w:rsidP="00922649">
      <w:p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hr-HR"/>
        </w:rPr>
      </w:pPr>
      <w:r w:rsidRPr="00462111">
        <w:rPr>
          <w:rFonts w:ascii="Verdana" w:eastAsia="Verdana" w:hAnsi="Verdana" w:cs="Calibri"/>
          <w:sz w:val="20"/>
          <w:szCs w:val="20"/>
        </w:rPr>
        <w:t xml:space="preserve">Rashodi za dodatna ulaganja odnose se na </w:t>
      </w:r>
      <w:r w:rsidR="00462111" w:rsidRPr="00462111">
        <w:rPr>
          <w:rFonts w:ascii="Verdana" w:eastAsia="Times New Roman" w:hAnsi="Verdana" w:cs="Calibri"/>
          <w:sz w:val="20"/>
          <w:szCs w:val="20"/>
          <w:lang w:eastAsia="hr-HR"/>
        </w:rPr>
        <w:t xml:space="preserve">unutarnje uređenje </w:t>
      </w:r>
      <w:r w:rsidRPr="00462111">
        <w:rPr>
          <w:rFonts w:ascii="Verdana" w:eastAsia="Times New Roman" w:hAnsi="Verdana" w:cs="Calibri"/>
          <w:sz w:val="20"/>
          <w:szCs w:val="20"/>
          <w:lang w:eastAsia="hr-HR"/>
        </w:rPr>
        <w:t>dom</w:t>
      </w:r>
      <w:r w:rsidR="00462111" w:rsidRPr="00462111">
        <w:rPr>
          <w:rFonts w:ascii="Verdana" w:eastAsia="Times New Roman" w:hAnsi="Verdana" w:cs="Calibri"/>
          <w:sz w:val="20"/>
          <w:szCs w:val="20"/>
          <w:lang w:eastAsia="hr-HR"/>
        </w:rPr>
        <w:t>a</w:t>
      </w:r>
      <w:r w:rsidRPr="00462111">
        <w:rPr>
          <w:rFonts w:ascii="Verdana" w:eastAsia="Times New Roman" w:hAnsi="Verdana" w:cs="Calibri"/>
          <w:sz w:val="20"/>
          <w:szCs w:val="20"/>
          <w:lang w:eastAsia="hr-HR"/>
        </w:rPr>
        <w:t xml:space="preserve"> kulture </w:t>
      </w:r>
      <w:proofErr w:type="spellStart"/>
      <w:r w:rsidRPr="00462111">
        <w:rPr>
          <w:rFonts w:ascii="Verdana" w:eastAsia="Times New Roman" w:hAnsi="Verdana" w:cs="Calibri"/>
          <w:sz w:val="20"/>
          <w:szCs w:val="20"/>
          <w:lang w:eastAsia="hr-HR"/>
        </w:rPr>
        <w:t>Berak</w:t>
      </w:r>
      <w:proofErr w:type="spellEnd"/>
      <w:r w:rsidR="00086F7E" w:rsidRPr="00462111">
        <w:rPr>
          <w:rFonts w:ascii="Verdana" w:eastAsia="Times New Roman" w:hAnsi="Verdana" w:cs="Calibri"/>
          <w:sz w:val="20"/>
          <w:szCs w:val="20"/>
          <w:lang w:eastAsia="hr-HR"/>
        </w:rPr>
        <w:t>.</w:t>
      </w:r>
    </w:p>
    <w:p w14:paraId="6BD3957E" w14:textId="77777777" w:rsidR="00922649" w:rsidRPr="00462111" w:rsidRDefault="00922649" w:rsidP="00922649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2F1AFBA2" w14:textId="77777777" w:rsidR="00D54569" w:rsidRPr="00FA086B" w:rsidRDefault="00D54569" w:rsidP="00922649">
      <w:pPr>
        <w:spacing w:after="0" w:line="240" w:lineRule="auto"/>
        <w:jc w:val="both"/>
        <w:rPr>
          <w:rFonts w:ascii="Verdana" w:eastAsia="Verdana" w:hAnsi="Verdana" w:cs="Courier New"/>
          <w:b/>
          <w:sz w:val="24"/>
          <w:szCs w:val="24"/>
        </w:rPr>
      </w:pPr>
      <w:r w:rsidRPr="00FA086B">
        <w:rPr>
          <w:rFonts w:ascii="Verdana" w:eastAsia="Verdana" w:hAnsi="Verdana" w:cs="Courier New"/>
          <w:b/>
          <w:sz w:val="24"/>
          <w:szCs w:val="24"/>
        </w:rPr>
        <w:t xml:space="preserve">PRORAČUN PO PROGRAMIMA </w:t>
      </w:r>
    </w:p>
    <w:p w14:paraId="39344F3E" w14:textId="77777777" w:rsidR="00D54569" w:rsidRPr="00FA086B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6D0CBC0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D42FE3">
        <w:rPr>
          <w:rFonts w:ascii="Verdana" w:eastAsia="Verdana" w:hAnsi="Verdana" w:cs="Courier New"/>
          <w:b/>
          <w:sz w:val="20"/>
          <w:szCs w:val="20"/>
        </w:rPr>
        <w:t>:</w:t>
      </w:r>
      <w:r w:rsidRPr="003849DF">
        <w:rPr>
          <w:rFonts w:ascii="Verdana" w:eastAsia="Verdana" w:hAnsi="Verdana" w:cs="Courier New"/>
          <w:b/>
          <w:sz w:val="20"/>
          <w:szCs w:val="20"/>
        </w:rPr>
        <w:t xml:space="preserve"> Općinsko vijeće</w:t>
      </w:r>
      <w:r w:rsidRPr="003849DF">
        <w:rPr>
          <w:rFonts w:ascii="Verdana" w:eastAsia="Verdana" w:hAnsi="Verdana" w:cs="Courier New"/>
          <w:sz w:val="20"/>
          <w:szCs w:val="20"/>
        </w:rPr>
        <w:t xml:space="preserve"> - obuhvaća sredstva za redovan rad Općinskog vijeća (naknade vijećnicima i političkim strankama, reprezentacija)</w:t>
      </w:r>
    </w:p>
    <w:p w14:paraId="33255081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398E30D7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D42FE3">
        <w:rPr>
          <w:rFonts w:ascii="Verdana" w:eastAsia="Verdana" w:hAnsi="Verdana" w:cs="Courier New"/>
          <w:b/>
          <w:sz w:val="20"/>
          <w:szCs w:val="20"/>
        </w:rPr>
        <w:t>:</w:t>
      </w:r>
      <w:r w:rsidR="0080278C">
        <w:rPr>
          <w:rFonts w:ascii="Verdana" w:eastAsia="Verdana" w:hAnsi="Verdana" w:cs="Courier New"/>
          <w:b/>
          <w:sz w:val="20"/>
          <w:szCs w:val="20"/>
        </w:rPr>
        <w:t xml:space="preserve"> M</w:t>
      </w:r>
      <w:r w:rsidRPr="003849DF">
        <w:rPr>
          <w:rFonts w:ascii="Verdana" w:eastAsia="Verdana" w:hAnsi="Verdana" w:cs="Courier New"/>
          <w:b/>
          <w:sz w:val="20"/>
          <w:szCs w:val="20"/>
        </w:rPr>
        <w:t>jesna samouprava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- obuhvaća sredstva za rad mjesnih odbora (režijski troškovi po objektima mjesnih odbora i održavanje istih, naknade za r</w:t>
      </w:r>
      <w:r w:rsidR="00903AA9" w:rsidRPr="003849DF">
        <w:rPr>
          <w:rFonts w:ascii="Verdana" w:eastAsia="Verdana" w:hAnsi="Verdana" w:cs="Courier New"/>
          <w:sz w:val="20"/>
          <w:szCs w:val="20"/>
        </w:rPr>
        <w:t>ad vijeća mjesnih odbora</w:t>
      </w:r>
      <w:r w:rsidRPr="003849DF">
        <w:rPr>
          <w:rFonts w:ascii="Verdana" w:eastAsia="Verdana" w:hAnsi="Verdana" w:cs="Courier New"/>
          <w:sz w:val="20"/>
          <w:szCs w:val="20"/>
        </w:rPr>
        <w:t>).</w:t>
      </w:r>
    </w:p>
    <w:p w14:paraId="1EF488FD" w14:textId="77777777" w:rsidR="00402550" w:rsidRPr="003849DF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2638266E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lastRenderedPageBreak/>
        <w:t>Program</w:t>
      </w:r>
      <w:r w:rsidR="00D42FE3">
        <w:rPr>
          <w:rFonts w:ascii="Verdana" w:eastAsia="Verdana" w:hAnsi="Verdana" w:cs="Courier New"/>
          <w:b/>
          <w:sz w:val="20"/>
          <w:szCs w:val="20"/>
        </w:rPr>
        <w:t>:</w:t>
      </w:r>
      <w:r w:rsidR="0080278C">
        <w:rPr>
          <w:rFonts w:ascii="Verdana" w:eastAsia="Verdana" w:hAnsi="Verdana" w:cs="Courier New"/>
          <w:b/>
          <w:sz w:val="20"/>
          <w:szCs w:val="20"/>
        </w:rPr>
        <w:t xml:space="preserve"> U</w:t>
      </w:r>
      <w:r w:rsidRPr="003849DF">
        <w:rPr>
          <w:rFonts w:ascii="Verdana" w:eastAsia="Verdana" w:hAnsi="Verdana" w:cs="Courier New"/>
          <w:b/>
          <w:sz w:val="20"/>
          <w:szCs w:val="20"/>
        </w:rPr>
        <w:t>red načelnika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obuhvaća rashode za redovnu djelatnost u Uredu općinskog načelnika (uključuje rashode za dužnosnike, službena putovanja, troškove reprezentacije, režijske rashode</w:t>
      </w:r>
      <w:r w:rsidR="00BC4DC9" w:rsidRPr="003849DF">
        <w:rPr>
          <w:rFonts w:ascii="Verdana" w:eastAsia="Verdana" w:hAnsi="Verdana" w:cs="Courier New"/>
          <w:sz w:val="20"/>
          <w:szCs w:val="20"/>
        </w:rPr>
        <w:t>, tekuće pomoći</w:t>
      </w:r>
      <w:r w:rsidRPr="003849DF">
        <w:rPr>
          <w:rFonts w:ascii="Verdana" w:eastAsia="Verdana" w:hAnsi="Verdana" w:cs="Courier New"/>
          <w:sz w:val="20"/>
          <w:szCs w:val="20"/>
        </w:rPr>
        <w:t xml:space="preserve"> i sl.).</w:t>
      </w:r>
    </w:p>
    <w:p w14:paraId="53271F9A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EF44864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D42FE3">
        <w:rPr>
          <w:rFonts w:ascii="Verdana" w:eastAsia="Times New Roman" w:hAnsi="Verdana" w:cs="Courier New"/>
          <w:b/>
          <w:sz w:val="20"/>
          <w:szCs w:val="20"/>
          <w:lang w:eastAsia="hr-HR"/>
        </w:rPr>
        <w:t>: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 </w:t>
      </w:r>
      <w:r w:rsidR="0080278C">
        <w:rPr>
          <w:rFonts w:ascii="Verdana" w:eastAsia="Times New Roman" w:hAnsi="Verdana" w:cs="Courier New"/>
          <w:b/>
          <w:sz w:val="20"/>
          <w:szCs w:val="20"/>
          <w:lang w:eastAsia="hr-HR"/>
        </w:rPr>
        <w:t>P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rogrami i projekti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</w:t>
      </w:r>
      <w:r w:rsidR="00D42FE3">
        <w:rPr>
          <w:rFonts w:ascii="Verdana" w:eastAsia="Times New Roman" w:hAnsi="Verdana" w:cs="Courier New"/>
          <w:sz w:val="20"/>
          <w:szCs w:val="20"/>
          <w:lang w:eastAsia="hr-HR"/>
        </w:rPr>
        <w:t>uhvaća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projekt zaželi (uposleni djelatnici koji </w:t>
      </w:r>
      <w:r w:rsidR="00FA35AC" w:rsidRPr="003849DF">
        <w:rPr>
          <w:rFonts w:ascii="Verdana" w:eastAsia="Times New Roman" w:hAnsi="Verdana" w:cs="Courier New"/>
          <w:sz w:val="20"/>
          <w:szCs w:val="20"/>
          <w:lang w:eastAsia="hr-HR"/>
        </w:rPr>
        <w:t>pružaju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pomoć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starijoj popu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>laciji)</w:t>
      </w:r>
      <w:r w:rsidR="000666A7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demografsku obnovu (sufinanciranje  prve nekretnine – obiteljske kuće</w:t>
      </w:r>
      <w:r w:rsidR="0087730B" w:rsidRPr="003849DF">
        <w:rPr>
          <w:rFonts w:ascii="Verdana" w:eastAsia="Times New Roman" w:hAnsi="Verdana" w:cs="Courier New"/>
          <w:sz w:val="20"/>
          <w:szCs w:val="20"/>
          <w:lang w:eastAsia="hr-HR"/>
        </w:rPr>
        <w:t>)</w:t>
      </w:r>
      <w:r w:rsidR="00903AA9" w:rsidRPr="003849DF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1C89D7F5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</w:p>
    <w:p w14:paraId="6F2E8B3F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80278C">
        <w:rPr>
          <w:rFonts w:ascii="Verdana" w:eastAsia="Verdana" w:hAnsi="Verdana" w:cs="Courier New"/>
          <w:b/>
          <w:sz w:val="20"/>
          <w:szCs w:val="20"/>
        </w:rPr>
        <w:t>:</w:t>
      </w:r>
      <w:r w:rsidRPr="003849DF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="0080278C">
        <w:rPr>
          <w:rFonts w:ascii="Verdana" w:eastAsia="Verdana" w:hAnsi="Verdana" w:cs="Courier New"/>
          <w:b/>
          <w:sz w:val="20"/>
          <w:szCs w:val="20"/>
        </w:rPr>
        <w:t>D</w:t>
      </w:r>
      <w:r w:rsidRPr="003849DF">
        <w:rPr>
          <w:rFonts w:ascii="Verdana" w:eastAsia="Verdana" w:hAnsi="Verdana" w:cs="Courier New"/>
          <w:b/>
          <w:sz w:val="20"/>
          <w:szCs w:val="20"/>
        </w:rPr>
        <w:t>ani stradanja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- program obuhvaća rashode  protokola</w:t>
      </w:r>
      <w:r w:rsidR="00070B55" w:rsidRPr="003849DF">
        <w:rPr>
          <w:rFonts w:ascii="Verdana" w:eastAsia="Verdana" w:hAnsi="Verdana" w:cs="Courier New"/>
          <w:sz w:val="20"/>
          <w:szCs w:val="20"/>
        </w:rPr>
        <w:t xml:space="preserve"> stradalih i nestalih u domovinskom ratu na području općine</w:t>
      </w:r>
      <w:r w:rsidR="00FA086B"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67A0E765" w14:textId="77777777" w:rsidR="00FA086B" w:rsidRPr="003849DF" w:rsidRDefault="00FA086B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2DA031B" w14:textId="77777777" w:rsidR="00D54569" w:rsidRPr="003849DF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80278C">
        <w:rPr>
          <w:rFonts w:ascii="Verdana" w:eastAsia="Verdana" w:hAnsi="Verdana" w:cs="Courier New"/>
          <w:b/>
          <w:sz w:val="20"/>
          <w:szCs w:val="20"/>
        </w:rPr>
        <w:t>:</w:t>
      </w:r>
      <w:r w:rsidRPr="003849DF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="0080278C">
        <w:rPr>
          <w:rFonts w:ascii="Verdana" w:eastAsia="Verdana" w:hAnsi="Verdana" w:cs="Courier New"/>
          <w:b/>
          <w:sz w:val="20"/>
          <w:szCs w:val="20"/>
        </w:rPr>
        <w:t>D</w:t>
      </w:r>
      <w:r w:rsidRPr="003849DF">
        <w:rPr>
          <w:rFonts w:ascii="Verdana" w:eastAsia="Verdana" w:hAnsi="Verdana" w:cs="Courier New"/>
          <w:b/>
          <w:sz w:val="20"/>
          <w:szCs w:val="20"/>
        </w:rPr>
        <w:t>ani općine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obuhvaća obilježavanje dana povratka na naše područje nakon domovinskog rata (odnosi se na rashode za reprezentaciju i rashode protokola).</w:t>
      </w:r>
    </w:p>
    <w:p w14:paraId="20B5EE7D" w14:textId="77777777" w:rsidR="00D54569" w:rsidRPr="003849DF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7E8AF66A" w14:textId="2F05132A" w:rsidR="00070B55" w:rsidRPr="003849DF" w:rsidRDefault="00D54569" w:rsidP="00E26C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80278C">
        <w:rPr>
          <w:rFonts w:ascii="Verdana" w:eastAsia="Verdana" w:hAnsi="Verdana" w:cs="Courier New"/>
          <w:b/>
          <w:sz w:val="20"/>
          <w:szCs w:val="20"/>
        </w:rPr>
        <w:t>: G</w:t>
      </w:r>
      <w:r w:rsidRPr="003849DF">
        <w:rPr>
          <w:rFonts w:ascii="Verdana" w:eastAsia="Verdana" w:hAnsi="Verdana" w:cs="Courier New"/>
          <w:b/>
          <w:sz w:val="20"/>
          <w:szCs w:val="20"/>
        </w:rPr>
        <w:t>rađevinski objekti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odnose se na</w:t>
      </w:r>
      <w:r w:rsidR="0087730B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80278C">
        <w:rPr>
          <w:rFonts w:ascii="Verdana" w:eastAsia="Verdana" w:hAnsi="Verdana" w:cs="Courier New"/>
          <w:sz w:val="20"/>
          <w:szCs w:val="20"/>
        </w:rPr>
        <w:t xml:space="preserve">izradu </w:t>
      </w:r>
      <w:r w:rsidR="0080278C">
        <w:rPr>
          <w:rFonts w:ascii="Verdana" w:eastAsia="Verdana" w:hAnsi="Verdana" w:cs="Calibri"/>
          <w:sz w:val="20"/>
          <w:szCs w:val="20"/>
        </w:rPr>
        <w:t>projektne dokumentacije</w:t>
      </w:r>
      <w:r w:rsidR="0080278C" w:rsidRPr="00922649">
        <w:rPr>
          <w:rFonts w:ascii="Verdana" w:eastAsia="Verdana" w:hAnsi="Verdana" w:cs="Calibri"/>
          <w:sz w:val="20"/>
          <w:szCs w:val="20"/>
        </w:rPr>
        <w:t xml:space="preserve"> za turistički </w:t>
      </w:r>
      <w:proofErr w:type="spellStart"/>
      <w:r w:rsidR="0080278C" w:rsidRPr="00922649">
        <w:rPr>
          <w:rFonts w:ascii="Verdana" w:eastAsia="Verdana" w:hAnsi="Verdana" w:cs="Calibri"/>
          <w:sz w:val="20"/>
          <w:szCs w:val="20"/>
        </w:rPr>
        <w:t>posjetiteljski</w:t>
      </w:r>
      <w:proofErr w:type="spellEnd"/>
      <w:r w:rsidR="0080278C" w:rsidRPr="00922649">
        <w:rPr>
          <w:rFonts w:ascii="Verdana" w:eastAsia="Verdana" w:hAnsi="Verdana" w:cs="Calibri"/>
          <w:sz w:val="20"/>
          <w:szCs w:val="20"/>
        </w:rPr>
        <w:t xml:space="preserve"> centar </w:t>
      </w:r>
      <w:proofErr w:type="spellStart"/>
      <w:r w:rsidR="0080278C" w:rsidRPr="00922649">
        <w:rPr>
          <w:rFonts w:ascii="Verdana" w:eastAsia="Verdana" w:hAnsi="Verdana" w:cs="Calibri"/>
          <w:sz w:val="20"/>
          <w:szCs w:val="20"/>
        </w:rPr>
        <w:t>Kercel</w:t>
      </w:r>
      <w:proofErr w:type="spellEnd"/>
      <w:r w:rsidR="0080278C" w:rsidRPr="00922649">
        <w:rPr>
          <w:rFonts w:ascii="Verdana" w:eastAsia="Verdana" w:hAnsi="Verdana" w:cs="Calibri"/>
          <w:sz w:val="20"/>
          <w:szCs w:val="20"/>
        </w:rPr>
        <w:t xml:space="preserve"> u Čakovcima</w:t>
      </w:r>
      <w:r w:rsidR="0080278C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87730B" w:rsidRPr="003849DF">
        <w:rPr>
          <w:rFonts w:ascii="Verdana" w:eastAsia="Verdana" w:hAnsi="Verdana" w:cs="Courier New"/>
          <w:sz w:val="20"/>
          <w:szCs w:val="20"/>
        </w:rPr>
        <w:t xml:space="preserve">postavljanje video nadzora na </w:t>
      </w:r>
      <w:r w:rsidR="00BC4DC9" w:rsidRPr="003849DF">
        <w:rPr>
          <w:rFonts w:ascii="Verdana" w:eastAsia="Verdana" w:hAnsi="Verdana" w:cs="Courier New"/>
          <w:sz w:val="20"/>
          <w:szCs w:val="20"/>
        </w:rPr>
        <w:t>grobljima u naseljima općine</w:t>
      </w:r>
      <w:r w:rsidR="00FA086B" w:rsidRPr="003849DF">
        <w:rPr>
          <w:rFonts w:ascii="Verdana" w:eastAsia="Verdana" w:hAnsi="Verdana" w:cs="Courier New"/>
          <w:sz w:val="20"/>
          <w:szCs w:val="20"/>
        </w:rPr>
        <w:t xml:space="preserve">, </w:t>
      </w:r>
      <w:r w:rsidR="0080278C">
        <w:rPr>
          <w:rFonts w:ascii="Verdana" w:eastAsia="Times New Roman" w:hAnsi="Verdana" w:cs="Calibri"/>
          <w:sz w:val="20"/>
          <w:szCs w:val="20"/>
          <w:lang w:eastAsia="hr-HR"/>
        </w:rPr>
        <w:t xml:space="preserve">izgradnju kulturnog centra u </w:t>
      </w:r>
      <w:proofErr w:type="spellStart"/>
      <w:r w:rsidR="0080278C">
        <w:rPr>
          <w:rFonts w:ascii="Verdana" w:eastAsia="Times New Roman" w:hAnsi="Verdana" w:cs="Calibri"/>
          <w:sz w:val="20"/>
          <w:szCs w:val="20"/>
          <w:lang w:eastAsia="hr-HR"/>
        </w:rPr>
        <w:t>Mikluševcima</w:t>
      </w:r>
      <w:proofErr w:type="spellEnd"/>
      <w:r w:rsidR="00BC4DC9" w:rsidRPr="003849DF">
        <w:rPr>
          <w:rFonts w:ascii="Verdana" w:eastAsia="Verdana" w:hAnsi="Verdana" w:cs="Courier New"/>
          <w:sz w:val="20"/>
          <w:szCs w:val="20"/>
        </w:rPr>
        <w:t>,</w:t>
      </w:r>
      <w:r w:rsidR="0080278C" w:rsidRPr="0080278C">
        <w:rPr>
          <w:rFonts w:ascii="Verdana" w:eastAsia="Verdana" w:hAnsi="Verdana" w:cs="Courier New"/>
          <w:sz w:val="20"/>
          <w:szCs w:val="20"/>
        </w:rPr>
        <w:t xml:space="preserve"> </w:t>
      </w:r>
      <w:r w:rsidR="0080278C" w:rsidRPr="003849DF">
        <w:rPr>
          <w:rFonts w:ascii="Verdana" w:eastAsia="Verdana" w:hAnsi="Verdana" w:cs="Courier New"/>
          <w:sz w:val="20"/>
          <w:szCs w:val="20"/>
        </w:rPr>
        <w:t xml:space="preserve">izgradnju </w:t>
      </w:r>
      <w:r w:rsidR="0080278C">
        <w:rPr>
          <w:rFonts w:ascii="Verdana" w:eastAsia="Verdana" w:hAnsi="Verdana" w:cs="Courier New"/>
          <w:sz w:val="20"/>
          <w:szCs w:val="20"/>
        </w:rPr>
        <w:t xml:space="preserve">dječjeg </w:t>
      </w:r>
      <w:r w:rsidR="0080278C" w:rsidRPr="003849DF">
        <w:rPr>
          <w:rFonts w:ascii="Verdana" w:eastAsia="Verdana" w:hAnsi="Verdana" w:cs="Courier New"/>
          <w:sz w:val="20"/>
          <w:szCs w:val="20"/>
        </w:rPr>
        <w:t xml:space="preserve">vrtića u </w:t>
      </w:r>
      <w:proofErr w:type="spellStart"/>
      <w:r w:rsidR="0080278C" w:rsidRPr="003849DF">
        <w:rPr>
          <w:rFonts w:ascii="Verdana" w:eastAsia="Verdana" w:hAnsi="Verdana" w:cs="Courier New"/>
          <w:sz w:val="20"/>
          <w:szCs w:val="20"/>
        </w:rPr>
        <w:t>Tompojevcima</w:t>
      </w:r>
      <w:proofErr w:type="spellEnd"/>
      <w:r w:rsidR="0080278C">
        <w:rPr>
          <w:rFonts w:ascii="Verdana" w:eastAsia="Verdana" w:hAnsi="Verdana" w:cs="Courier New"/>
          <w:sz w:val="20"/>
          <w:szCs w:val="20"/>
        </w:rPr>
        <w:t>, sufinanciranje projektne dokumentacije za vodovodnu mrežu</w:t>
      </w:r>
      <w:r w:rsidR="00827131" w:rsidRPr="00827131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827131">
        <w:rPr>
          <w:rFonts w:ascii="Verdana" w:eastAsia="Times New Roman" w:hAnsi="Verdana" w:cs="Courier New"/>
          <w:sz w:val="20"/>
          <w:szCs w:val="20"/>
          <w:lang w:eastAsia="hr-HR"/>
        </w:rPr>
        <w:t xml:space="preserve">u </w:t>
      </w:r>
      <w:proofErr w:type="spellStart"/>
      <w:r w:rsidR="00827131" w:rsidRPr="003849DF">
        <w:rPr>
          <w:rFonts w:ascii="Verdana" w:eastAsia="Times New Roman" w:hAnsi="Verdana" w:cs="Courier New"/>
          <w:sz w:val="20"/>
          <w:szCs w:val="20"/>
          <w:lang w:eastAsia="hr-HR"/>
        </w:rPr>
        <w:t>Berku</w:t>
      </w:r>
      <w:proofErr w:type="spellEnd"/>
      <w:r w:rsidR="00827131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i </w:t>
      </w:r>
      <w:proofErr w:type="spellStart"/>
      <w:r w:rsidR="00827131" w:rsidRPr="003849DF">
        <w:rPr>
          <w:rFonts w:ascii="Verdana" w:eastAsia="Times New Roman" w:hAnsi="Verdana" w:cs="Courier New"/>
          <w:sz w:val="20"/>
          <w:szCs w:val="20"/>
          <w:lang w:eastAsia="hr-HR"/>
        </w:rPr>
        <w:t>Mikluševcima</w:t>
      </w:r>
      <w:proofErr w:type="spellEnd"/>
      <w:r w:rsidR="0080278C">
        <w:rPr>
          <w:rFonts w:ascii="Verdana" w:eastAsia="Verdana" w:hAnsi="Verdana" w:cs="Courier New"/>
          <w:sz w:val="20"/>
          <w:szCs w:val="20"/>
        </w:rPr>
        <w:t>, sufinanciranje izgradnje ceste Mikluševci-Čakovci i parkiralište na GKG Mikluševci</w:t>
      </w:r>
      <w:r w:rsidR="00827131">
        <w:rPr>
          <w:rFonts w:ascii="Verdana" w:eastAsia="Times New Roman" w:hAnsi="Verdana" w:cs="Courier New"/>
          <w:sz w:val="20"/>
          <w:szCs w:val="20"/>
          <w:lang w:eastAsia="hr-HR"/>
        </w:rPr>
        <w:t xml:space="preserve">, </w:t>
      </w:r>
      <w:r w:rsidR="00070B55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280040" w:rsidRPr="003849DF">
        <w:rPr>
          <w:rFonts w:ascii="Verdana" w:eastAsia="Verdana" w:hAnsi="Verdana" w:cs="Courier New"/>
          <w:sz w:val="20"/>
          <w:szCs w:val="20"/>
        </w:rPr>
        <w:t>dodatna u</w:t>
      </w:r>
      <w:r w:rsidR="00827131">
        <w:rPr>
          <w:rFonts w:ascii="Verdana" w:eastAsia="Verdana" w:hAnsi="Verdana" w:cs="Courier New"/>
          <w:sz w:val="20"/>
          <w:szCs w:val="20"/>
        </w:rPr>
        <w:t xml:space="preserve">laganja u dom </w:t>
      </w:r>
      <w:proofErr w:type="spellStart"/>
      <w:r w:rsidR="00827131">
        <w:rPr>
          <w:rFonts w:ascii="Verdana" w:eastAsia="Verdana" w:hAnsi="Verdana" w:cs="Courier New"/>
          <w:sz w:val="20"/>
          <w:szCs w:val="20"/>
        </w:rPr>
        <w:t>Berak</w:t>
      </w:r>
      <w:proofErr w:type="spellEnd"/>
      <w:r w:rsidR="00BC4DC9"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341C4BE0" w14:textId="77777777" w:rsidR="00BC4DC9" w:rsidRPr="003849DF" w:rsidRDefault="00BC4DC9" w:rsidP="00E26C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C97A485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827131">
        <w:rPr>
          <w:rFonts w:ascii="Verdana" w:eastAsia="Verdana" w:hAnsi="Verdana" w:cs="Courier New"/>
          <w:b/>
          <w:sz w:val="20"/>
          <w:szCs w:val="20"/>
        </w:rPr>
        <w:t>: O</w:t>
      </w:r>
      <w:r w:rsidRPr="003849DF">
        <w:rPr>
          <w:rFonts w:ascii="Verdana" w:eastAsia="Verdana" w:hAnsi="Verdana" w:cs="Courier New"/>
          <w:b/>
          <w:sz w:val="20"/>
          <w:szCs w:val="20"/>
        </w:rPr>
        <w:t xml:space="preserve">brazovanje – </w:t>
      </w:r>
      <w:r w:rsidRPr="003849DF">
        <w:rPr>
          <w:rFonts w:ascii="Verdana" w:eastAsia="Verdana" w:hAnsi="Verdana" w:cs="Courier New"/>
          <w:sz w:val="20"/>
          <w:szCs w:val="20"/>
        </w:rPr>
        <w:t>obuhvaća rashode za  stipendiranje svih studenata preddiplomskih i diplomskih, stručnih i s</w:t>
      </w:r>
      <w:r w:rsidR="00BC4DC9" w:rsidRPr="003849DF">
        <w:rPr>
          <w:rFonts w:ascii="Verdana" w:eastAsia="Verdana" w:hAnsi="Verdana" w:cs="Courier New"/>
          <w:sz w:val="20"/>
          <w:szCs w:val="20"/>
        </w:rPr>
        <w:t>veučilišnih studija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208F5B7C" w14:textId="77777777" w:rsidR="00CF6FEC" w:rsidRPr="003849DF" w:rsidRDefault="00CF6FEC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6B55D5E" w14:textId="77777777" w:rsidR="00CF6FEC" w:rsidRDefault="00CF6FEC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827131">
        <w:rPr>
          <w:rFonts w:ascii="Verdana" w:eastAsia="Verdana" w:hAnsi="Verdana" w:cs="Courier New"/>
          <w:b/>
          <w:sz w:val="20"/>
          <w:szCs w:val="20"/>
        </w:rPr>
        <w:t>: O</w:t>
      </w:r>
      <w:r w:rsidRPr="003849DF">
        <w:rPr>
          <w:rFonts w:ascii="Verdana" w:eastAsia="Verdana" w:hAnsi="Verdana" w:cs="Courier New"/>
          <w:b/>
          <w:sz w:val="20"/>
          <w:szCs w:val="20"/>
        </w:rPr>
        <w:t>bilježavanje Državnih blagdana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odnosi se na rashode za reprezentaciju i rashode protokola.</w:t>
      </w:r>
    </w:p>
    <w:p w14:paraId="66CBB743" w14:textId="77777777" w:rsidR="00827131" w:rsidRDefault="00827131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3042768F" w14:textId="77777777" w:rsidR="00827131" w:rsidRPr="00827131" w:rsidRDefault="00827131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827131">
        <w:rPr>
          <w:rFonts w:ascii="Verdana" w:eastAsia="Verdana" w:hAnsi="Verdana" w:cs="Courier New"/>
          <w:b/>
          <w:sz w:val="20"/>
          <w:szCs w:val="20"/>
        </w:rPr>
        <w:t xml:space="preserve">Program: Strateško planiranje </w:t>
      </w:r>
      <w:r>
        <w:rPr>
          <w:rFonts w:ascii="Verdana" w:eastAsia="Verdana" w:hAnsi="Verdana" w:cs="Courier New"/>
          <w:b/>
          <w:sz w:val="20"/>
          <w:szCs w:val="20"/>
        </w:rPr>
        <w:t xml:space="preserve">– </w:t>
      </w:r>
      <w:r w:rsidRPr="00827131">
        <w:rPr>
          <w:rFonts w:ascii="Verdana" w:eastAsia="Verdana" w:hAnsi="Verdana" w:cs="Courier New"/>
          <w:sz w:val="20"/>
          <w:szCs w:val="20"/>
        </w:rPr>
        <w:t>obuhvaća provedbene mjere prilagodbe klimatskim promjenama SECAP</w:t>
      </w:r>
    </w:p>
    <w:p w14:paraId="00CB110A" w14:textId="77777777" w:rsidR="00402550" w:rsidRPr="003849DF" w:rsidRDefault="00402550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09594BE2" w14:textId="77777777" w:rsidR="00D54569" w:rsidRPr="003849DF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827131">
        <w:rPr>
          <w:rFonts w:ascii="Verdana" w:eastAsia="Verdana" w:hAnsi="Verdana" w:cs="Courier New"/>
          <w:b/>
          <w:sz w:val="20"/>
          <w:szCs w:val="20"/>
        </w:rPr>
        <w:t>: J</w:t>
      </w:r>
      <w:r w:rsidRPr="003849DF">
        <w:rPr>
          <w:rFonts w:ascii="Verdana" w:eastAsia="Verdana" w:hAnsi="Verdana" w:cs="Courier New"/>
          <w:b/>
          <w:sz w:val="20"/>
          <w:szCs w:val="20"/>
        </w:rPr>
        <w:t>avna uprava i administracija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rashodi se odnose na rashode 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za zaposlene, rashode za službena putovanja, premije osiguranja,  reprezentaciju, režijske  rashode i sl.</w:t>
      </w:r>
    </w:p>
    <w:p w14:paraId="41C0C6C3" w14:textId="77777777" w:rsidR="00D54569" w:rsidRPr="003849DF" w:rsidRDefault="00D54569" w:rsidP="00D54569">
      <w:pPr>
        <w:spacing w:after="0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1B960BE2" w14:textId="77777777" w:rsidR="00D54569" w:rsidRPr="003849DF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827131">
        <w:rPr>
          <w:rFonts w:ascii="Verdana" w:eastAsia="Times New Roman" w:hAnsi="Verdana" w:cs="Courier New"/>
          <w:b/>
          <w:sz w:val="20"/>
          <w:szCs w:val="20"/>
          <w:lang w:eastAsia="hr-HR"/>
        </w:rPr>
        <w:t>: S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ocijalna skrb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ostale pomoći obiteljima i kućanstvima (sufinanciranje borbe protiv ovisnosti alkohola, duhana i droge, pomoći za novorođenu djecu,</w:t>
      </w:r>
      <w:r w:rsidR="00D57232" w:rsidRPr="003849DF">
        <w:rPr>
          <w:rFonts w:ascii="Verdana" w:eastAsia="Verdana" w:hAnsi="Verdana" w:cs="Courier New"/>
          <w:sz w:val="20"/>
          <w:szCs w:val="20"/>
        </w:rPr>
        <w:t xml:space="preserve"> jednokratne pomoći,</w:t>
      </w: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632DC7" w:rsidRPr="003849DF">
        <w:rPr>
          <w:rFonts w:ascii="Verdana" w:eastAsia="Verdana" w:hAnsi="Verdana" w:cs="Courier New"/>
          <w:sz w:val="20"/>
          <w:szCs w:val="20"/>
        </w:rPr>
        <w:t>potp</w:t>
      </w:r>
      <w:r w:rsidR="001B031F" w:rsidRPr="003849DF">
        <w:rPr>
          <w:rFonts w:ascii="Verdana" w:eastAsia="Verdana" w:hAnsi="Verdana" w:cs="Courier New"/>
          <w:sz w:val="20"/>
          <w:szCs w:val="20"/>
        </w:rPr>
        <w:t>ore roditeljima za djecu od prve</w:t>
      </w:r>
      <w:r w:rsidR="00632DC7" w:rsidRPr="003849DF">
        <w:rPr>
          <w:rFonts w:ascii="Verdana" w:eastAsia="Verdana" w:hAnsi="Verdana" w:cs="Courier New"/>
          <w:sz w:val="20"/>
          <w:szCs w:val="20"/>
        </w:rPr>
        <w:t xml:space="preserve"> godine života do</w:t>
      </w:r>
      <w:r w:rsidR="001B031F" w:rsidRPr="003849DF">
        <w:rPr>
          <w:rFonts w:ascii="Verdana" w:eastAsia="Verdana" w:hAnsi="Verdana" w:cs="Courier New"/>
          <w:sz w:val="20"/>
          <w:szCs w:val="20"/>
        </w:rPr>
        <w:t xml:space="preserve"> šeste godine</w:t>
      </w:r>
      <w:r w:rsidR="00632DC7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1B031F" w:rsidRPr="003849DF">
        <w:rPr>
          <w:rFonts w:ascii="Verdana" w:eastAsia="Verdana" w:hAnsi="Verdana" w:cs="Courier New"/>
          <w:sz w:val="20"/>
          <w:szCs w:val="20"/>
        </w:rPr>
        <w:t>(</w:t>
      </w:r>
      <w:r w:rsidR="00632DC7" w:rsidRPr="003849DF">
        <w:rPr>
          <w:rFonts w:ascii="Verdana" w:eastAsia="Verdana" w:hAnsi="Verdana" w:cs="Courier New"/>
          <w:sz w:val="20"/>
          <w:szCs w:val="20"/>
        </w:rPr>
        <w:t>polaska u prvi razred OŠ</w:t>
      </w:r>
      <w:r w:rsidR="001B031F" w:rsidRPr="003849DF">
        <w:rPr>
          <w:rFonts w:ascii="Verdana" w:eastAsia="Verdana" w:hAnsi="Verdana" w:cs="Courier New"/>
          <w:sz w:val="20"/>
          <w:szCs w:val="20"/>
        </w:rPr>
        <w:t>)</w:t>
      </w:r>
      <w:r w:rsidR="00632DC7" w:rsidRPr="003849DF">
        <w:rPr>
          <w:rFonts w:ascii="Verdana" w:eastAsia="Verdana" w:hAnsi="Verdana" w:cs="Courier New"/>
          <w:sz w:val="20"/>
          <w:szCs w:val="20"/>
        </w:rPr>
        <w:t xml:space="preserve">, </w:t>
      </w:r>
      <w:r w:rsidRPr="003849DF">
        <w:rPr>
          <w:rFonts w:ascii="Verdana" w:eastAsia="Verdana" w:hAnsi="Verdana" w:cs="Courier New"/>
          <w:sz w:val="20"/>
          <w:szCs w:val="20"/>
        </w:rPr>
        <w:t>sufinanciranje karata za prijevoz srednjoškolaca, nak</w:t>
      </w:r>
      <w:r w:rsidR="00827131">
        <w:rPr>
          <w:rFonts w:ascii="Verdana" w:eastAsia="Verdana" w:hAnsi="Verdana" w:cs="Courier New"/>
          <w:sz w:val="20"/>
          <w:szCs w:val="20"/>
        </w:rPr>
        <w:t>nadu za izlet učenicima OŠ</w:t>
      </w:r>
      <w:r w:rsidRPr="003849DF">
        <w:rPr>
          <w:rFonts w:ascii="Verdana" w:eastAsia="Verdana" w:hAnsi="Verdana" w:cs="Courier New"/>
          <w:sz w:val="20"/>
          <w:szCs w:val="20"/>
        </w:rPr>
        <w:t>, božićne pakete za  djecu</w:t>
      </w:r>
      <w:r w:rsidR="001B031F" w:rsidRPr="003849DF">
        <w:rPr>
          <w:rFonts w:ascii="Verdana" w:eastAsia="Verdana" w:hAnsi="Verdana" w:cs="Courier New"/>
          <w:sz w:val="20"/>
          <w:szCs w:val="20"/>
        </w:rPr>
        <w:t xml:space="preserve"> do 14. godina), isplatu božićnice</w:t>
      </w:r>
      <w:r w:rsidR="00827131">
        <w:rPr>
          <w:rFonts w:ascii="Verdana" w:eastAsia="Verdana" w:hAnsi="Verdana" w:cs="Courier New"/>
          <w:sz w:val="20"/>
          <w:szCs w:val="20"/>
        </w:rPr>
        <w:t xml:space="preserve"> umirovljenicima sa manjom mirovinom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6652A196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0B0DD216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827131">
        <w:rPr>
          <w:rFonts w:ascii="Verdana" w:eastAsia="Times New Roman" w:hAnsi="Verdana" w:cs="Courier New"/>
          <w:b/>
          <w:sz w:val="20"/>
          <w:szCs w:val="20"/>
          <w:lang w:eastAsia="hr-HR"/>
        </w:rPr>
        <w:t>: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 </w:t>
      </w:r>
      <w:r w:rsidR="00827131">
        <w:rPr>
          <w:rFonts w:ascii="Verdana" w:eastAsia="Times New Roman" w:hAnsi="Verdana" w:cs="Courier New"/>
          <w:b/>
          <w:sz w:val="20"/>
          <w:szCs w:val="20"/>
          <w:lang w:eastAsia="hr-HR"/>
        </w:rPr>
        <w:t>O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državanje komunalne infrastrukture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o</w:t>
      </w:r>
      <w:r w:rsidRPr="003849DF">
        <w:rPr>
          <w:rFonts w:ascii="Verdana" w:eastAsia="Verdana" w:hAnsi="Verdana" w:cs="Courier New"/>
          <w:sz w:val="20"/>
          <w:szCs w:val="20"/>
        </w:rPr>
        <w:t>vaj program uključuje sljedeće aktivnosti: održavanje nerazvrstanih cesta, rashodi se odnose  na komunalne usluge (čišćenje nerazvrstanih cesta u zimskom periodu</w:t>
      </w:r>
      <w:r w:rsidR="00C2527B" w:rsidRPr="003849DF">
        <w:rPr>
          <w:rFonts w:ascii="Verdana" w:eastAsia="Verdana" w:hAnsi="Verdana" w:cs="Courier New"/>
          <w:sz w:val="20"/>
          <w:szCs w:val="20"/>
        </w:rPr>
        <w:t>,</w:t>
      </w: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C2527B" w:rsidRPr="003849DF">
        <w:rPr>
          <w:rFonts w:ascii="Verdana" w:eastAsia="Verdana" w:hAnsi="Verdana" w:cs="Courier New"/>
          <w:sz w:val="20"/>
          <w:szCs w:val="20"/>
        </w:rPr>
        <w:t xml:space="preserve">redovno </w:t>
      </w:r>
      <w:r w:rsidRPr="003849DF">
        <w:rPr>
          <w:rFonts w:ascii="Verdana" w:eastAsia="Verdana" w:hAnsi="Verdana" w:cs="Courier New"/>
          <w:sz w:val="20"/>
          <w:szCs w:val="20"/>
        </w:rPr>
        <w:t xml:space="preserve">održavanje nerazvrstanih cesta </w:t>
      </w:r>
      <w:r w:rsidR="00C51BB0" w:rsidRPr="003849DF">
        <w:rPr>
          <w:rFonts w:ascii="Verdana" w:eastAsia="Verdana" w:hAnsi="Verdana" w:cs="Courier New"/>
          <w:sz w:val="20"/>
          <w:szCs w:val="20"/>
        </w:rPr>
        <w:t>uređenje poljskih puteva</w:t>
      </w:r>
      <w:r w:rsidR="00C2527B" w:rsidRPr="003849DF">
        <w:rPr>
          <w:rFonts w:ascii="Verdana" w:eastAsia="Verdana" w:hAnsi="Verdana" w:cs="Courier New"/>
          <w:sz w:val="20"/>
          <w:szCs w:val="20"/>
        </w:rPr>
        <w:t>)</w:t>
      </w:r>
      <w:r w:rsidR="00C51BB0" w:rsidRPr="003849DF">
        <w:rPr>
          <w:rFonts w:ascii="Verdana" w:eastAsia="Verdana" w:hAnsi="Verdana" w:cs="Courier New"/>
          <w:sz w:val="20"/>
          <w:szCs w:val="20"/>
        </w:rPr>
        <w:t>, održavanje građevine i uređaja javne namjene,</w:t>
      </w:r>
      <w:r w:rsidRPr="003849DF">
        <w:rPr>
          <w:rFonts w:ascii="Verdana" w:eastAsia="Verdana" w:hAnsi="Verdana" w:cs="Courier New"/>
          <w:sz w:val="20"/>
          <w:szCs w:val="20"/>
        </w:rPr>
        <w:t xml:space="preserve">  održavanje javne rasvjete,</w:t>
      </w:r>
      <w:r w:rsidR="00C51BB0" w:rsidRPr="003849DF">
        <w:rPr>
          <w:rFonts w:ascii="Verdana" w:eastAsia="Verdana" w:hAnsi="Verdana" w:cs="Courier New"/>
          <w:sz w:val="20"/>
          <w:szCs w:val="20"/>
        </w:rPr>
        <w:t xml:space="preserve"> održavanje javne površine </w:t>
      </w:r>
      <w:r w:rsidR="00F10229" w:rsidRPr="003849DF">
        <w:rPr>
          <w:rFonts w:ascii="Verdana" w:eastAsia="Verdana" w:hAnsi="Verdana" w:cs="Courier New"/>
          <w:sz w:val="20"/>
          <w:szCs w:val="20"/>
        </w:rPr>
        <w:t>na kojima nije dopušten promet motornim vozilima(sanacija pješačkih staza)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održavanje javn</w:t>
      </w:r>
      <w:r w:rsidR="00F10229" w:rsidRPr="003849DF">
        <w:rPr>
          <w:rFonts w:ascii="Verdana" w:eastAsia="Verdana" w:hAnsi="Verdana" w:cs="Courier New"/>
          <w:sz w:val="20"/>
          <w:szCs w:val="20"/>
        </w:rPr>
        <w:t xml:space="preserve">ih zelenih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površin</w:t>
      </w:r>
      <w:r w:rsidR="00F10229" w:rsidRPr="003849DF">
        <w:rPr>
          <w:rFonts w:ascii="Verdana" w:eastAsia="Verdana" w:hAnsi="Verdana" w:cs="Courier New"/>
          <w:sz w:val="20"/>
          <w:szCs w:val="20"/>
        </w:rPr>
        <w:t xml:space="preserve">a i  </w:t>
      </w:r>
      <w:r w:rsidR="00632DC7" w:rsidRPr="003849DF">
        <w:rPr>
          <w:rFonts w:ascii="Verdana" w:eastAsia="Verdana" w:hAnsi="Verdana" w:cs="Courier New"/>
          <w:sz w:val="20"/>
          <w:szCs w:val="20"/>
        </w:rPr>
        <w:t>groblja</w:t>
      </w:r>
      <w:r w:rsidR="00F10229" w:rsidRPr="003849DF">
        <w:rPr>
          <w:rFonts w:ascii="Verdana" w:eastAsia="Verdana" w:hAnsi="Verdana" w:cs="Courier New"/>
          <w:sz w:val="20"/>
          <w:szCs w:val="20"/>
        </w:rPr>
        <w:t>, deratizacija i dezinsekcija, veterinarsko-higijeničarski poslovi i održavanje čistoće javnih površina</w:t>
      </w:r>
      <w:r w:rsidR="001B031F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="00F10229" w:rsidRPr="003849DF">
        <w:rPr>
          <w:rFonts w:ascii="Verdana" w:eastAsia="Verdana" w:hAnsi="Verdana" w:cs="Courier New"/>
          <w:sz w:val="20"/>
          <w:szCs w:val="20"/>
        </w:rPr>
        <w:t>(postavljanje koševa i uklanjanje otpada)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2C413A42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5D64CC84" w14:textId="77777777" w:rsidR="00C54667" w:rsidRPr="003849DF" w:rsidRDefault="00D54569" w:rsidP="00C54667">
      <w:pPr>
        <w:jc w:val="both"/>
        <w:rPr>
          <w:rFonts w:eastAsia="Verdana" w:cs="Calibri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</w:t>
      </w:r>
      <w:r w:rsidR="001B031F"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 G</w:t>
      </w:r>
      <w:r w:rsidR="001B031F"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rađenja 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 komunalne infrastrukture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 se odnosi na rekonstrukciju cesta</w:t>
      </w:r>
      <w:r w:rsidR="00CF6FEC" w:rsidRPr="003849DF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C54667" w:rsidRPr="003849DF">
        <w:rPr>
          <w:rFonts w:eastAsia="Verdana" w:cs="Calibri"/>
        </w:rPr>
        <w:t xml:space="preserve"> izgradnju i opremanje  dječjeg  igra</w:t>
      </w:r>
      <w:r w:rsidR="005D2B07">
        <w:rPr>
          <w:rFonts w:eastAsia="Verdana" w:cs="Calibri"/>
        </w:rPr>
        <w:t xml:space="preserve">lišta u naselju Čakovci </w:t>
      </w:r>
      <w:r w:rsidR="00C54667" w:rsidRPr="003849DF">
        <w:rPr>
          <w:rFonts w:eastAsia="Verdana" w:cs="Calibri"/>
        </w:rPr>
        <w:t xml:space="preserve">,  rekonstrukcija sportske svlačionice </w:t>
      </w:r>
      <w:r w:rsidR="00C54667" w:rsidRPr="003849DF">
        <w:rPr>
          <w:rFonts w:eastAsia="Verdana" w:cs="Calibri"/>
        </w:rPr>
        <w:lastRenderedPageBreak/>
        <w:t>u</w:t>
      </w:r>
      <w:r w:rsidR="005D2B07">
        <w:rPr>
          <w:rFonts w:eastAsia="Verdana" w:cs="Calibri"/>
        </w:rPr>
        <w:t xml:space="preserve"> </w:t>
      </w:r>
      <w:proofErr w:type="spellStart"/>
      <w:r w:rsidR="005D2B07">
        <w:rPr>
          <w:rFonts w:eastAsia="Verdana" w:cs="Calibri"/>
        </w:rPr>
        <w:t>Berku</w:t>
      </w:r>
      <w:proofErr w:type="spellEnd"/>
      <w:r w:rsidR="005D2B07">
        <w:rPr>
          <w:rFonts w:eastAsia="Verdana" w:cs="Calibri"/>
        </w:rPr>
        <w:t xml:space="preserve">, </w:t>
      </w:r>
      <w:r w:rsidR="00C54667" w:rsidRPr="003849DF">
        <w:rPr>
          <w:rFonts w:eastAsia="Verdana" w:cs="Calibri"/>
        </w:rPr>
        <w:t xml:space="preserve"> </w:t>
      </w:r>
      <w:proofErr w:type="spellStart"/>
      <w:r w:rsidR="00C54667" w:rsidRPr="003849DF">
        <w:rPr>
          <w:rFonts w:eastAsia="Verdana" w:cs="Calibri"/>
        </w:rPr>
        <w:t>Mikluševcima</w:t>
      </w:r>
      <w:proofErr w:type="spellEnd"/>
      <w:r w:rsidR="00C54667" w:rsidRPr="003849DF">
        <w:rPr>
          <w:rFonts w:eastAsia="Verdana" w:cs="Calibri"/>
        </w:rPr>
        <w:t xml:space="preserve"> i </w:t>
      </w:r>
      <w:proofErr w:type="spellStart"/>
      <w:r w:rsidR="00C54667" w:rsidRPr="003849DF">
        <w:rPr>
          <w:rFonts w:eastAsia="Verdana" w:cs="Calibri"/>
        </w:rPr>
        <w:t>Tompojevcima</w:t>
      </w:r>
      <w:proofErr w:type="spellEnd"/>
      <w:r w:rsidR="00C54667" w:rsidRPr="003849DF">
        <w:rPr>
          <w:rFonts w:eastAsia="Verdana" w:cs="Calibri"/>
        </w:rPr>
        <w:t xml:space="preserve"> te izgradnju parkirališta </w:t>
      </w:r>
      <w:r w:rsidR="00693F8B" w:rsidRPr="003849DF">
        <w:rPr>
          <w:rFonts w:eastAsia="Verdana" w:cs="Calibri"/>
        </w:rPr>
        <w:t>kod sportske svlačionice Tompojevci</w:t>
      </w:r>
      <w:r w:rsidR="00C54667" w:rsidRPr="003849DF">
        <w:rPr>
          <w:rFonts w:eastAsia="Verdana" w:cs="Calibri"/>
        </w:rPr>
        <w:t xml:space="preserve">, izgradnja boćališta i višenamjensko sportsko igralište  u </w:t>
      </w:r>
      <w:proofErr w:type="spellStart"/>
      <w:r w:rsidR="00C54667" w:rsidRPr="003849DF">
        <w:rPr>
          <w:rFonts w:eastAsia="Verdana" w:cs="Calibri"/>
        </w:rPr>
        <w:t>Tompojevcima</w:t>
      </w:r>
      <w:proofErr w:type="spellEnd"/>
      <w:r w:rsidR="00C54667" w:rsidRPr="003849DF">
        <w:rPr>
          <w:rFonts w:eastAsia="Verdana" w:cs="Calibri"/>
        </w:rPr>
        <w:t>.</w:t>
      </w:r>
    </w:p>
    <w:p w14:paraId="7F06DC49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 P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romicanje kulture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obuhvaća kulturne manifestacije i kulturno umjetnički amaterizam, p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oticanje kulturne djelatnosti, njegovanje tradicije i običaja.</w:t>
      </w:r>
    </w:p>
    <w:p w14:paraId="453DD1C8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6FA5C9D5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 S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port i rekreacija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poticanje sportske djelatnosti kroz nogometne klubove i ostale sportske udruge.</w:t>
      </w:r>
    </w:p>
    <w:p w14:paraId="463CEAF6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2A0EBF80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 J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avne potrebe ostalih udruga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-obuhvaća poboljšanje uvjeta u okviru brige za djecu i mlade, braniteljsku populaciju, te osobe treće životne dobi i drugi.</w:t>
      </w:r>
    </w:p>
    <w:p w14:paraId="12D56D11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20C5D74E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 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R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azvoj civilnog društva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odnosi se na redovno financiranje udruga (jačanje razvoja ruralnih prostora općine Tompojevci putem suradnje s drugim JLS i organizacijama, vjerske zajednice i udruga potrošača).</w:t>
      </w:r>
    </w:p>
    <w:p w14:paraId="60E192AA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48C480F6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 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P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redškolski odgoj, osnovno, srednje i visoko obrazovanje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–  odnosi se na </w:t>
      </w:r>
      <w:r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sufinanciranje redovitog programa predškolskog odgoja</w:t>
      </w:r>
      <w:r w:rsidR="00D81B76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, </w:t>
      </w:r>
      <w:r w:rsidR="00693F8B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na tekuće donacije </w:t>
      </w:r>
      <w:r w:rsidR="008706D4" w:rsidRPr="003849DF">
        <w:rPr>
          <w:rFonts w:ascii="Verdana" w:eastAsia="Times New Roman" w:hAnsi="Verdana" w:cs="Courier New"/>
          <w:sz w:val="20"/>
          <w:szCs w:val="20"/>
          <w:lang w:eastAsia="hr-HR"/>
        </w:rPr>
        <w:t>(</w:t>
      </w:r>
      <w:r w:rsidR="00D81B76" w:rsidRPr="003849DF">
        <w:rPr>
          <w:rFonts w:ascii="Verdana" w:eastAsia="Times New Roman" w:hAnsi="Verdana" w:cs="Courier New"/>
          <w:sz w:val="20"/>
          <w:szCs w:val="20"/>
          <w:lang w:eastAsia="hr-HR"/>
        </w:rPr>
        <w:t>materijal za čišćenje i održavanje osnovne škole, motorni benzin za održavanje travnjaka u osnovnim i područnim školama</w:t>
      </w:r>
      <w:r w:rsidR="00784ACA" w:rsidRPr="003849DF">
        <w:rPr>
          <w:rFonts w:ascii="Verdana" w:eastAsia="Times New Roman" w:hAnsi="Verdana" w:cs="Courier New"/>
          <w:sz w:val="20"/>
          <w:szCs w:val="20"/>
          <w:lang w:eastAsia="hr-HR"/>
        </w:rPr>
        <w:t>)</w:t>
      </w:r>
      <w:r w:rsidR="00693F8B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sufinanciranje jaslica</w:t>
      </w:r>
      <w:r w:rsidR="00D81B76" w:rsidRPr="003849DF">
        <w:rPr>
          <w:rFonts w:ascii="Verdana" w:eastAsia="Times New Roman" w:hAnsi="Verdana" w:cs="Courier New"/>
          <w:sz w:val="20"/>
          <w:szCs w:val="20"/>
          <w:lang w:eastAsia="hr-HR"/>
        </w:rPr>
        <w:t>.</w:t>
      </w:r>
    </w:p>
    <w:p w14:paraId="35944B37" w14:textId="77777777" w:rsidR="00D81B76" w:rsidRPr="003849DF" w:rsidRDefault="00D81B76" w:rsidP="00D54569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15163B66" w14:textId="600E4B14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5D2B07">
        <w:rPr>
          <w:rFonts w:ascii="Verdana" w:eastAsia="Verdana" w:hAnsi="Verdana" w:cs="Courier New"/>
          <w:b/>
          <w:sz w:val="20"/>
          <w:szCs w:val="20"/>
        </w:rPr>
        <w:t>: N</w:t>
      </w:r>
      <w:r w:rsidRPr="003849DF">
        <w:rPr>
          <w:rFonts w:ascii="Verdana" w:eastAsia="Verdana" w:hAnsi="Verdana" w:cs="Courier New"/>
          <w:b/>
          <w:sz w:val="20"/>
          <w:szCs w:val="20"/>
        </w:rPr>
        <w:t>acionalne manjine</w:t>
      </w:r>
      <w:r w:rsidRPr="003849DF">
        <w:rPr>
          <w:rFonts w:ascii="Verdana" w:eastAsia="Verdana" w:hAnsi="Verdana" w:cs="Courier New"/>
          <w:sz w:val="20"/>
          <w:szCs w:val="20"/>
        </w:rPr>
        <w:t xml:space="preserve"> – obuhvaća redovan rad tijela nacionalnih manjina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82680E"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>očuvanje običaja i njegovanje jezika nacionalnih manjina.</w:t>
      </w:r>
    </w:p>
    <w:p w14:paraId="10F1774C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1A7A5DC7" w14:textId="313B99D4" w:rsidR="00CC76EC" w:rsidRPr="003849DF" w:rsidRDefault="00D54569" w:rsidP="00CC76EC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 G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ospodarstvo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Pr="003849DF">
        <w:rPr>
          <w:rFonts w:ascii="Verdana" w:eastAsia="Verdana" w:hAnsi="Verdana" w:cs="Courier New"/>
          <w:sz w:val="20"/>
          <w:szCs w:val="20"/>
        </w:rPr>
        <w:t xml:space="preserve">– rashodi se odnose na </w:t>
      </w:r>
      <w:r w:rsidR="00784ACA" w:rsidRPr="003849DF">
        <w:rPr>
          <w:rFonts w:ascii="Verdana" w:eastAsia="Verdana" w:hAnsi="Verdana" w:cs="Courier New"/>
          <w:sz w:val="20"/>
          <w:szCs w:val="20"/>
        </w:rPr>
        <w:t>troškov</w:t>
      </w:r>
      <w:r w:rsidR="009C6696">
        <w:rPr>
          <w:rFonts w:ascii="Verdana" w:eastAsia="Verdana" w:hAnsi="Verdana" w:cs="Courier New"/>
          <w:sz w:val="20"/>
          <w:szCs w:val="20"/>
        </w:rPr>
        <w:t>e</w:t>
      </w:r>
      <w:r w:rsidR="00784ACA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Pr="003849DF">
        <w:rPr>
          <w:rFonts w:ascii="Verdana" w:eastAsia="Verdana" w:hAnsi="Verdana" w:cs="Courier New"/>
          <w:sz w:val="20"/>
          <w:szCs w:val="20"/>
        </w:rPr>
        <w:t>odvoz</w:t>
      </w:r>
      <w:r w:rsidR="009C6696">
        <w:rPr>
          <w:rFonts w:ascii="Verdana" w:eastAsia="Verdana" w:hAnsi="Verdana" w:cs="Courier New"/>
          <w:sz w:val="20"/>
          <w:szCs w:val="20"/>
        </w:rPr>
        <w:t>a</w:t>
      </w:r>
      <w:r w:rsidRPr="003849DF">
        <w:rPr>
          <w:rFonts w:ascii="Verdana" w:eastAsia="Verdana" w:hAnsi="Verdana" w:cs="Courier New"/>
          <w:sz w:val="20"/>
          <w:szCs w:val="20"/>
        </w:rPr>
        <w:t xml:space="preserve"> uginule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 stoke</w:t>
      </w:r>
      <w:r w:rsidR="00784ACA" w:rsidRPr="003849DF">
        <w:rPr>
          <w:rFonts w:ascii="Verdana" w:eastAsia="Verdana" w:hAnsi="Verdana" w:cs="Courier New"/>
          <w:sz w:val="20"/>
          <w:szCs w:val="20"/>
        </w:rPr>
        <w:t>,</w:t>
      </w:r>
      <w:r w:rsidR="00CC76EC" w:rsidRPr="003849DF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="00CC76EC" w:rsidRPr="003849DF">
        <w:rPr>
          <w:rFonts w:ascii="Verdana" w:eastAsia="Verdana" w:hAnsi="Verdana" w:cs="Courier New"/>
          <w:sz w:val="20"/>
          <w:szCs w:val="20"/>
        </w:rPr>
        <w:t>na potpore gospodarstvu, te potpore poljoprivrednicima i obrtnicima</w:t>
      </w:r>
    </w:p>
    <w:p w14:paraId="636C537D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4DCBC517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 Z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aštite i spašavanja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naknade za r</w:t>
      </w:r>
      <w:r w:rsidR="00693F8B" w:rsidRPr="003849DF">
        <w:rPr>
          <w:rFonts w:ascii="Verdana" w:eastAsia="Times New Roman" w:hAnsi="Verdana" w:cs="Courier New"/>
          <w:sz w:val="20"/>
          <w:szCs w:val="20"/>
          <w:lang w:eastAsia="hr-HR"/>
        </w:rPr>
        <w:t>ad civilne zaštite, izdvajanje 4,9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% od vlastitih sredstava za rad DVD-a, sufinanciranje </w:t>
      </w:r>
      <w:r w:rsidRPr="003849DF">
        <w:rPr>
          <w:rFonts w:ascii="Verdana" w:eastAsia="Verdana" w:hAnsi="Verdana" w:cs="Courier New"/>
          <w:sz w:val="20"/>
          <w:szCs w:val="20"/>
        </w:rPr>
        <w:t>Hrvatske gorske službe spašavanja i obveza izdvajanja  iz proračuna 0,7% od vlastitih sredstava za rad Crvenog križa</w:t>
      </w:r>
      <w:r w:rsidR="00784ACA" w:rsidRPr="003849DF">
        <w:rPr>
          <w:rFonts w:ascii="Verdana" w:eastAsia="Verdana" w:hAnsi="Verdana" w:cs="Courier New"/>
          <w:sz w:val="20"/>
          <w:szCs w:val="20"/>
        </w:rPr>
        <w:t>, saniranje objekta DVD-a u Bokšiću</w:t>
      </w:r>
      <w:r w:rsidRPr="003849DF">
        <w:rPr>
          <w:rFonts w:ascii="Verdana" w:eastAsia="Verdana" w:hAnsi="Verdana" w:cs="Courier New"/>
          <w:sz w:val="20"/>
          <w:szCs w:val="20"/>
        </w:rPr>
        <w:t>.</w:t>
      </w:r>
    </w:p>
    <w:p w14:paraId="1D54E5AA" w14:textId="77777777" w:rsidR="00D54569" w:rsidRPr="003849DF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5CFB6A38" w14:textId="77777777" w:rsidR="00693F8B" w:rsidRPr="003849DF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5D2B07">
        <w:rPr>
          <w:rFonts w:ascii="Verdana" w:eastAsia="Times New Roman" w:hAnsi="Verdana" w:cs="Courier New"/>
          <w:b/>
          <w:sz w:val="20"/>
          <w:szCs w:val="20"/>
          <w:lang w:eastAsia="hr-HR"/>
        </w:rPr>
        <w:t>: Z</w:t>
      </w:r>
      <w:r w:rsidRPr="003849DF">
        <w:rPr>
          <w:rFonts w:ascii="Verdana" w:eastAsia="Times New Roman" w:hAnsi="Verdana" w:cs="Courier New"/>
          <w:b/>
          <w:sz w:val="20"/>
          <w:szCs w:val="20"/>
          <w:lang w:eastAsia="hr-HR"/>
        </w:rPr>
        <w:t>aštite okoliša</w:t>
      </w:r>
      <w:r w:rsidRPr="003849DF">
        <w:rPr>
          <w:rFonts w:ascii="Verdana" w:eastAsia="Times New Roman" w:hAnsi="Verdana" w:cs="Courier New"/>
          <w:sz w:val="20"/>
          <w:szCs w:val="20"/>
          <w:lang w:eastAsia="hr-HR"/>
        </w:rPr>
        <w:t xml:space="preserve"> - </w:t>
      </w:r>
      <w:r w:rsidRPr="003849DF">
        <w:rPr>
          <w:rFonts w:ascii="Verdana" w:eastAsia="Verdana" w:hAnsi="Verdana" w:cs="Courier New"/>
          <w:sz w:val="20"/>
          <w:szCs w:val="20"/>
        </w:rPr>
        <w:t>rashodi se odnose na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 odvoz animalnog otpada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 i saniranje </w:t>
      </w:r>
      <w:r w:rsidR="00693F8B" w:rsidRPr="003849DF">
        <w:rPr>
          <w:rFonts w:ascii="Verdana" w:eastAsia="Verdana" w:hAnsi="Verdana" w:cs="Courier New"/>
          <w:sz w:val="20"/>
          <w:szCs w:val="20"/>
        </w:rPr>
        <w:t>novonastalih divlje deponija</w:t>
      </w:r>
      <w:r w:rsidR="00D81B76" w:rsidRPr="003849DF">
        <w:rPr>
          <w:rFonts w:ascii="Verdana" w:eastAsia="Verdana" w:hAnsi="Verdana" w:cs="Courier New"/>
          <w:sz w:val="20"/>
          <w:szCs w:val="20"/>
        </w:rPr>
        <w:t>,</w:t>
      </w:r>
      <w:r w:rsidR="008E698B">
        <w:rPr>
          <w:rFonts w:ascii="Verdana" w:eastAsia="Verdana" w:hAnsi="Verdana" w:cs="Courier New"/>
          <w:sz w:val="20"/>
          <w:szCs w:val="20"/>
        </w:rPr>
        <w:t xml:space="preserve"> kupovinu komunalne opreme(kante za papir i plastiku)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 održavanje</w:t>
      </w:r>
      <w:r w:rsidR="00D81B76" w:rsidRPr="003849DF">
        <w:rPr>
          <w:rFonts w:ascii="Verdana" w:eastAsia="Verdana" w:hAnsi="Verdana" w:cs="Courier New"/>
          <w:sz w:val="20"/>
          <w:szCs w:val="20"/>
        </w:rPr>
        <w:t xml:space="preserve"> </w:t>
      </w:r>
      <w:proofErr w:type="spellStart"/>
      <w:r w:rsidR="00D81B76" w:rsidRPr="003849DF">
        <w:rPr>
          <w:rFonts w:ascii="Verdana" w:eastAsia="Verdana" w:hAnsi="Verdana" w:cs="Courier New"/>
          <w:sz w:val="20"/>
          <w:szCs w:val="20"/>
        </w:rPr>
        <w:t>reciklažnog</w:t>
      </w:r>
      <w:proofErr w:type="spellEnd"/>
      <w:r w:rsidR="00D81B76" w:rsidRPr="003849DF">
        <w:rPr>
          <w:rFonts w:ascii="Verdana" w:eastAsia="Verdana" w:hAnsi="Verdana" w:cs="Courier New"/>
          <w:sz w:val="20"/>
          <w:szCs w:val="20"/>
        </w:rPr>
        <w:t xml:space="preserve"> dvorišta</w:t>
      </w:r>
      <w:r w:rsidR="00625FC8" w:rsidRPr="003849DF">
        <w:rPr>
          <w:rFonts w:ascii="Verdana" w:eastAsia="Verdana" w:hAnsi="Verdana" w:cs="Courier New"/>
          <w:sz w:val="20"/>
          <w:szCs w:val="20"/>
        </w:rPr>
        <w:t xml:space="preserve"> (režijske troškove, investicijsko održavanje, zbrinjavanje opasnog otpada i </w:t>
      </w:r>
      <w:proofErr w:type="spellStart"/>
      <w:r w:rsidR="00625FC8" w:rsidRPr="003849DF">
        <w:rPr>
          <w:rFonts w:ascii="Verdana" w:eastAsia="Verdana" w:hAnsi="Verdana" w:cs="Courier New"/>
          <w:sz w:val="20"/>
          <w:szCs w:val="20"/>
        </w:rPr>
        <w:t>sl</w:t>
      </w:r>
      <w:proofErr w:type="spellEnd"/>
      <w:r w:rsidR="00625FC8" w:rsidRPr="003849DF">
        <w:rPr>
          <w:rFonts w:ascii="Verdana" w:eastAsia="Verdana" w:hAnsi="Verdana" w:cs="Courier New"/>
          <w:sz w:val="20"/>
          <w:szCs w:val="20"/>
        </w:rPr>
        <w:t>)</w:t>
      </w:r>
      <w:r w:rsidR="00693F8B" w:rsidRPr="003849DF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3426E0C7" w14:textId="77777777" w:rsidR="00693F8B" w:rsidRPr="003849DF" w:rsidRDefault="00693F8B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28A047D" w14:textId="56893640" w:rsidR="00D54569" w:rsidRPr="003849DF" w:rsidRDefault="00693F8B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3849DF">
        <w:rPr>
          <w:rFonts w:ascii="Verdana" w:eastAsia="Verdana" w:hAnsi="Verdana" w:cs="Courier New"/>
          <w:b/>
          <w:sz w:val="20"/>
          <w:szCs w:val="20"/>
        </w:rPr>
        <w:t>Program</w:t>
      </w:r>
      <w:r w:rsidR="008E698B">
        <w:rPr>
          <w:rFonts w:ascii="Verdana" w:eastAsia="Verdana" w:hAnsi="Verdana" w:cs="Courier New"/>
          <w:b/>
          <w:sz w:val="20"/>
          <w:szCs w:val="20"/>
        </w:rPr>
        <w:t>: J</w:t>
      </w:r>
      <w:r w:rsidRPr="003849DF">
        <w:rPr>
          <w:rFonts w:ascii="Verdana" w:eastAsia="Verdana" w:hAnsi="Verdana" w:cs="Courier New"/>
          <w:b/>
          <w:sz w:val="20"/>
          <w:szCs w:val="20"/>
        </w:rPr>
        <w:t>avni radovi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 </w:t>
      </w:r>
      <w:r w:rsidRPr="003849DF">
        <w:rPr>
          <w:rFonts w:ascii="Verdana" w:eastAsia="Verdana" w:hAnsi="Verdana" w:cs="Courier New"/>
          <w:sz w:val="20"/>
          <w:szCs w:val="20"/>
        </w:rPr>
        <w:t xml:space="preserve">– odnose se na </w:t>
      </w:r>
      <w:r w:rsidR="007727EC" w:rsidRPr="003849DF">
        <w:rPr>
          <w:rFonts w:ascii="Verdana" w:eastAsia="Verdana" w:hAnsi="Verdana" w:cs="Courier New"/>
          <w:sz w:val="20"/>
          <w:szCs w:val="20"/>
        </w:rPr>
        <w:t>javne radove ( p</w:t>
      </w:r>
      <w:r w:rsidR="009C6696">
        <w:rPr>
          <w:rFonts w:ascii="Verdana" w:eastAsia="Verdana" w:hAnsi="Verdana" w:cs="Courier New"/>
          <w:sz w:val="20"/>
          <w:szCs w:val="20"/>
        </w:rPr>
        <w:t>l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aća  djelatnika  javnih radova, materijal i strojevi </w:t>
      </w:r>
      <w:r w:rsidR="00137B47" w:rsidRPr="003849DF">
        <w:rPr>
          <w:rFonts w:ascii="Verdana" w:eastAsia="Verdana" w:hAnsi="Verdana" w:cs="Courier New"/>
          <w:sz w:val="20"/>
          <w:szCs w:val="20"/>
        </w:rPr>
        <w:t>z</w:t>
      </w:r>
      <w:r w:rsidR="007727EC" w:rsidRPr="003849DF">
        <w:rPr>
          <w:rFonts w:ascii="Verdana" w:eastAsia="Verdana" w:hAnsi="Verdana" w:cs="Courier New"/>
          <w:sz w:val="20"/>
          <w:szCs w:val="20"/>
        </w:rPr>
        <w:t xml:space="preserve">a održavanje zelenih površina i </w:t>
      </w:r>
      <w:r w:rsidR="009E17FD" w:rsidRPr="003849DF">
        <w:rPr>
          <w:rFonts w:ascii="Verdana" w:eastAsia="Verdana" w:hAnsi="Verdana" w:cs="Courier New"/>
          <w:sz w:val="20"/>
          <w:szCs w:val="20"/>
        </w:rPr>
        <w:t>sl</w:t>
      </w:r>
      <w:r w:rsidR="00625FC8" w:rsidRPr="003849DF">
        <w:rPr>
          <w:rFonts w:ascii="Verdana" w:eastAsia="Verdana" w:hAnsi="Verdana" w:cs="Courier New"/>
          <w:sz w:val="20"/>
          <w:szCs w:val="20"/>
        </w:rPr>
        <w:t>.</w:t>
      </w:r>
      <w:r w:rsidR="009E17FD" w:rsidRPr="003849DF">
        <w:rPr>
          <w:rFonts w:ascii="Verdana" w:eastAsia="Verdana" w:hAnsi="Verdana" w:cs="Courier New"/>
          <w:sz w:val="20"/>
          <w:szCs w:val="20"/>
        </w:rPr>
        <w:t>).</w:t>
      </w:r>
    </w:p>
    <w:p w14:paraId="13DB1338" w14:textId="77777777" w:rsidR="00BF28A3" w:rsidRPr="003849DF" w:rsidRDefault="00BF28A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67CFCB8" w14:textId="77777777" w:rsidR="00D54569" w:rsidRPr="003849DF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3F81396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F1414D2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306F8007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08F47D0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53C2C40A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71E7866D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5A1CF8C9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4811428" w14:textId="77777777" w:rsidR="00402550" w:rsidRPr="004C1BDE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06EF13E8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CDB68CD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85038D2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8A09A8B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455A090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3FD7486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D6C2C12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9E37DE3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7615505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C07557D" w14:textId="77777777" w:rsidR="00402550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06790DA" w14:textId="77777777" w:rsidR="00402550" w:rsidRPr="00EC75E1" w:rsidRDefault="00402550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02CB903" w14:textId="77777777" w:rsidR="00D54569" w:rsidRPr="00EC75E1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C75E1">
        <w:rPr>
          <w:rFonts w:ascii="Verdana" w:eastAsia="Verdana" w:hAnsi="Verdana" w:cs="Courier New"/>
          <w:sz w:val="20"/>
          <w:szCs w:val="20"/>
        </w:rPr>
        <w:t>PROJEKCIJA PRORAČUNA  ZA 20</w:t>
      </w:r>
      <w:r w:rsidR="00625FC8" w:rsidRPr="00EC75E1">
        <w:rPr>
          <w:rFonts w:ascii="Verdana" w:eastAsia="Verdana" w:hAnsi="Verdana" w:cs="Courier New"/>
          <w:sz w:val="20"/>
          <w:szCs w:val="20"/>
        </w:rPr>
        <w:t>2</w:t>
      </w:r>
      <w:r w:rsidR="008E698B" w:rsidRPr="00EC75E1">
        <w:rPr>
          <w:rFonts w:ascii="Verdana" w:eastAsia="Verdana" w:hAnsi="Verdana" w:cs="Courier New"/>
          <w:sz w:val="20"/>
          <w:szCs w:val="20"/>
        </w:rPr>
        <w:t>5</w:t>
      </w:r>
      <w:r w:rsidRPr="00EC75E1">
        <w:rPr>
          <w:rFonts w:ascii="Verdana" w:eastAsia="Verdana" w:hAnsi="Verdana" w:cs="Courier New"/>
          <w:sz w:val="20"/>
          <w:szCs w:val="20"/>
        </w:rPr>
        <w:t>. I 202</w:t>
      </w:r>
      <w:r w:rsidR="008E698B" w:rsidRPr="00EC75E1">
        <w:rPr>
          <w:rFonts w:ascii="Verdana" w:eastAsia="Verdana" w:hAnsi="Verdana" w:cs="Courier New"/>
          <w:sz w:val="20"/>
          <w:szCs w:val="20"/>
        </w:rPr>
        <w:t>6</w:t>
      </w:r>
      <w:r w:rsidRPr="00EC75E1">
        <w:rPr>
          <w:rFonts w:ascii="Verdana" w:eastAsia="Verdana" w:hAnsi="Verdana" w:cs="Courier New"/>
          <w:sz w:val="20"/>
          <w:szCs w:val="20"/>
        </w:rPr>
        <w:t>. GODINU</w:t>
      </w:r>
    </w:p>
    <w:p w14:paraId="0EC27C50" w14:textId="77777777" w:rsidR="004C1BDE" w:rsidRPr="00EC75E1" w:rsidRDefault="004C1BDE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1843"/>
      </w:tblGrid>
      <w:tr w:rsidR="00EC75E1" w:rsidRPr="00EC75E1" w14:paraId="66A76C5B" w14:textId="77777777" w:rsidTr="00462111">
        <w:trPr>
          <w:trHeight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7C2D5" w14:textId="578EF089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bookmarkStart w:id="0" w:name="_Hlk56767684"/>
            <w:r w:rsidRPr="00EC75E1">
              <w:rPr>
                <w:rFonts w:ascii="Verdana" w:eastAsia="Verdana" w:hAnsi="Verdana" w:cs="Courier New"/>
                <w:sz w:val="20"/>
                <w:szCs w:val="20"/>
              </w:rPr>
              <w:t>PRIHODI</w:t>
            </w:r>
            <w:r w:rsidR="00EC75E1" w:rsidRPr="00EC75E1">
              <w:rPr>
                <w:rFonts w:ascii="Verdana" w:eastAsia="Verdana" w:hAnsi="Verdana" w:cs="Courier New"/>
                <w:sz w:val="20"/>
                <w:szCs w:val="20"/>
              </w:rPr>
              <w:t xml:space="preserve"> I PRIMICI </w:t>
            </w:r>
            <w:r w:rsidRPr="00EC75E1">
              <w:rPr>
                <w:rFonts w:ascii="Verdana" w:eastAsia="Verdana" w:hAnsi="Verdana" w:cs="Courier New"/>
                <w:sz w:val="20"/>
                <w:szCs w:val="20"/>
              </w:rPr>
              <w:t>PRORAČUNA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A40F1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EC75E1">
              <w:rPr>
                <w:rFonts w:ascii="Verdana" w:eastAsia="Verdana" w:hAnsi="Verdana" w:cs="Courier New"/>
                <w:sz w:val="20"/>
                <w:szCs w:val="20"/>
              </w:rPr>
              <w:t>Projekcija proračuna</w:t>
            </w:r>
          </w:p>
          <w:p w14:paraId="5D4A360A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EC75E1">
              <w:rPr>
                <w:rFonts w:ascii="Verdana" w:eastAsia="Verdana" w:hAnsi="Verdana" w:cs="Courier New"/>
                <w:sz w:val="20"/>
                <w:szCs w:val="20"/>
              </w:rPr>
              <w:t>2024.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80B55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EC75E1">
              <w:rPr>
                <w:rFonts w:ascii="Verdana" w:eastAsia="Verdana" w:hAnsi="Verdana" w:cs="Courier New"/>
                <w:sz w:val="20"/>
                <w:szCs w:val="20"/>
              </w:rPr>
              <w:t>Projekcija proračuna 2025.</w:t>
            </w:r>
          </w:p>
        </w:tc>
      </w:tr>
      <w:tr w:rsidR="00EC75E1" w:rsidRPr="00EC75E1" w14:paraId="23032AAB" w14:textId="77777777" w:rsidTr="00462111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CCE8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B5B3" w14:textId="00081C22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/>
                <w:bCs/>
                <w:sz w:val="18"/>
                <w:szCs w:val="18"/>
              </w:rPr>
              <w:t>2.319.127</w:t>
            </w:r>
            <w:r w:rsidR="004C1BDE" w:rsidRPr="00EC75E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7091" w14:textId="0ACEB71B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C75E1">
              <w:rPr>
                <w:rFonts w:ascii="Tahoma" w:hAnsi="Tahoma" w:cs="Tahoma"/>
                <w:b/>
                <w:bCs/>
                <w:sz w:val="18"/>
                <w:szCs w:val="18"/>
              </w:rPr>
              <w:t>1.400.122,00</w:t>
            </w:r>
          </w:p>
        </w:tc>
      </w:tr>
      <w:tr w:rsidR="00EC75E1" w:rsidRPr="00EC75E1" w14:paraId="4A4E1C29" w14:textId="77777777" w:rsidTr="00462111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9A3E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183C" w14:textId="56021466" w:rsidR="004C1BDE" w:rsidRPr="00EC75E1" w:rsidRDefault="0046211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351.464</w:t>
            </w:r>
            <w:r w:rsidR="004C1BDE" w:rsidRPr="00EC75E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9C39" w14:textId="5AF60220" w:rsidR="004C1BDE" w:rsidRPr="00EC75E1" w:rsidRDefault="00462111" w:rsidP="00ED188E">
            <w:pPr>
              <w:jc w:val="right"/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351.464,00</w:t>
            </w:r>
          </w:p>
        </w:tc>
      </w:tr>
      <w:tr w:rsidR="00EC75E1" w:rsidRPr="00EC75E1" w14:paraId="2D9A8B31" w14:textId="77777777" w:rsidTr="00462111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287D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03DA" w14:textId="7CEBE4D4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1.787.403</w:t>
            </w:r>
            <w:r w:rsidR="004C1BDE" w:rsidRPr="00EC75E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7DC3" w14:textId="0E99462D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868.398,00</w:t>
            </w:r>
          </w:p>
        </w:tc>
      </w:tr>
      <w:tr w:rsidR="00EC75E1" w:rsidRPr="00EC75E1" w14:paraId="029D0F8B" w14:textId="77777777" w:rsidTr="00462111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9944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7D9A" w14:textId="5535A4FA" w:rsidR="004C1BDE" w:rsidRPr="00EC75E1" w:rsidRDefault="004C1BDE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462111" w:rsidRPr="00EC75E1">
              <w:rPr>
                <w:rFonts w:ascii="Tahoma" w:hAnsi="Tahoma" w:cs="Tahoma"/>
                <w:bCs/>
                <w:sz w:val="18"/>
                <w:szCs w:val="18"/>
              </w:rPr>
              <w:t>22.710</w:t>
            </w:r>
            <w:r w:rsidRPr="00EC75E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43C2" w14:textId="5A469F59" w:rsidR="004C1BDE" w:rsidRPr="00EC75E1" w:rsidRDefault="00462111" w:rsidP="00ED188E">
            <w:pPr>
              <w:jc w:val="right"/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122.710,00</w:t>
            </w:r>
          </w:p>
        </w:tc>
      </w:tr>
      <w:tr w:rsidR="00EC75E1" w:rsidRPr="00EC75E1" w14:paraId="52BAFF26" w14:textId="77777777" w:rsidTr="00462111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0576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6207" w14:textId="15EFFE4B" w:rsidR="004C1BDE" w:rsidRPr="00EC75E1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="00462111" w:rsidRPr="00EC75E1">
              <w:rPr>
                <w:rFonts w:ascii="Tahoma" w:hAnsi="Tahoma" w:cs="Tahoma"/>
                <w:bCs/>
                <w:sz w:val="18"/>
                <w:szCs w:val="18"/>
              </w:rPr>
              <w:t>6.890</w:t>
            </w:r>
            <w:r w:rsidRPr="00EC75E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6F13" w14:textId="74F3EF8C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56.890,00</w:t>
            </w:r>
          </w:p>
        </w:tc>
      </w:tr>
      <w:tr w:rsidR="00EC75E1" w:rsidRPr="00EC75E1" w14:paraId="09CC484B" w14:textId="77777777" w:rsidTr="00462111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2713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 xml:space="preserve">68 Ostali prihodi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EEAC" w14:textId="21F6C535" w:rsidR="004C1BDE" w:rsidRPr="00EC75E1" w:rsidRDefault="004C1BDE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C75E1"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 w:rsidR="00462111" w:rsidRPr="00EC75E1"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 w:rsidRPr="00EC75E1">
              <w:rPr>
                <w:rFonts w:ascii="Tahoma" w:hAnsi="Tahoma" w:cs="Tahoma"/>
                <w:bCs/>
                <w:sz w:val="18"/>
                <w:szCs w:val="18"/>
              </w:rPr>
              <w:t xml:space="preserve">0,00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368C" w14:textId="7A0950D5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660,00</w:t>
            </w:r>
          </w:p>
        </w:tc>
      </w:tr>
      <w:tr w:rsidR="00EC75E1" w:rsidRPr="00EC75E1" w14:paraId="32AAACDB" w14:textId="77777777" w:rsidTr="00462111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17E5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A44D" w14:textId="005E793F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/>
                <w:bCs/>
                <w:sz w:val="18"/>
                <w:szCs w:val="18"/>
              </w:rPr>
              <w:t>31.750</w:t>
            </w:r>
            <w:r w:rsidR="004C1BDE" w:rsidRPr="00EC75E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FE67" w14:textId="242BBA31" w:rsidR="004C1BDE" w:rsidRPr="00EC75E1" w:rsidRDefault="00462111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C75E1">
              <w:rPr>
                <w:rFonts w:ascii="Tahoma" w:hAnsi="Tahoma" w:cs="Tahoma"/>
                <w:b/>
                <w:bCs/>
                <w:sz w:val="18"/>
                <w:szCs w:val="18"/>
              </w:rPr>
              <w:t>31.750,00</w:t>
            </w:r>
          </w:p>
        </w:tc>
      </w:tr>
      <w:tr w:rsidR="00EC75E1" w:rsidRPr="00EC75E1" w14:paraId="10A32056" w14:textId="77777777" w:rsidTr="00462111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1590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 xml:space="preserve">71 Prihodi od prodaje </w:t>
            </w:r>
            <w:proofErr w:type="spellStart"/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>neproizvedene</w:t>
            </w:r>
            <w:proofErr w:type="spellEnd"/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 xml:space="preserve"> imovine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2481" w14:textId="4EB1F8AD" w:rsidR="004C1BDE" w:rsidRPr="00EC75E1" w:rsidRDefault="004C1BDE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462111" w:rsidRPr="00EC75E1">
              <w:rPr>
                <w:rFonts w:ascii="Tahoma" w:hAnsi="Tahoma" w:cs="Tahoma"/>
                <w:bCs/>
                <w:sz w:val="18"/>
                <w:szCs w:val="18"/>
              </w:rPr>
              <w:t>7.97</w:t>
            </w:r>
            <w:r w:rsidRPr="00EC75E1">
              <w:rPr>
                <w:rFonts w:ascii="Tahoma" w:hAnsi="Tahoma" w:cs="Tahoma"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57FB" w14:textId="28CAFBD9" w:rsidR="004C1BDE" w:rsidRPr="00EC75E1" w:rsidRDefault="00462111" w:rsidP="00ED188E">
            <w:pPr>
              <w:jc w:val="right"/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17.970,00</w:t>
            </w:r>
          </w:p>
        </w:tc>
      </w:tr>
      <w:tr w:rsidR="00EC75E1" w:rsidRPr="00EC75E1" w14:paraId="17771F14" w14:textId="77777777" w:rsidTr="00462111">
        <w:trPr>
          <w:trHeight w:val="3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4926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sz w:val="18"/>
                <w:szCs w:val="18"/>
              </w:rPr>
              <w:t>72</w:t>
            </w:r>
            <w:r w:rsidRPr="00EC75E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Prihodi od prodaje proizvedene dugotrajne imovine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22B4" w14:textId="4C9FE6BF" w:rsidR="004C1BDE" w:rsidRPr="00EC75E1" w:rsidRDefault="00462111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13.780</w:t>
            </w:r>
            <w:r w:rsidR="004C1BDE" w:rsidRPr="00EC75E1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1C73" w14:textId="75FD34AF" w:rsidR="004C1BDE" w:rsidRPr="00EC75E1" w:rsidRDefault="00462111" w:rsidP="00ED188E">
            <w:pPr>
              <w:jc w:val="right"/>
            </w:pPr>
            <w:r w:rsidRPr="00EC75E1">
              <w:rPr>
                <w:rFonts w:ascii="Tahoma" w:hAnsi="Tahoma" w:cs="Tahoma"/>
                <w:bCs/>
                <w:sz w:val="18"/>
                <w:szCs w:val="18"/>
              </w:rPr>
              <w:t>13.780,00</w:t>
            </w:r>
          </w:p>
        </w:tc>
      </w:tr>
      <w:tr w:rsidR="00EC75E1" w:rsidRPr="00EC75E1" w14:paraId="3680C979" w14:textId="77777777" w:rsidTr="00462111">
        <w:trPr>
          <w:trHeight w:val="3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FF7B0" w14:textId="77777777" w:rsidR="004C1BDE" w:rsidRPr="00EC75E1" w:rsidRDefault="004C1BDE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EC75E1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28637" w14:textId="4A2FD7FA" w:rsidR="004C1BDE" w:rsidRPr="00EC75E1" w:rsidRDefault="00462111" w:rsidP="00462111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C75E1">
              <w:rPr>
                <w:rFonts w:ascii="Tahoma" w:hAnsi="Tahoma" w:cs="Tahoma"/>
                <w:sz w:val="20"/>
                <w:szCs w:val="20"/>
              </w:rPr>
              <w:t>2.350.877,00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406A" w14:textId="7E598822" w:rsidR="004C1BDE" w:rsidRPr="00EC75E1" w:rsidRDefault="00462111" w:rsidP="00ED188E">
            <w:pPr>
              <w:widowControl w:val="0"/>
              <w:tabs>
                <w:tab w:val="center" w:pos="737"/>
                <w:tab w:val="center" w:pos="4450"/>
                <w:tab w:val="center" w:pos="8220"/>
                <w:tab w:val="center" w:pos="9807"/>
                <w:tab w:val="center" w:pos="11394"/>
                <w:tab w:val="center" w:pos="12982"/>
                <w:tab w:val="center" w:pos="14569"/>
              </w:tabs>
              <w:autoSpaceDE w:val="0"/>
              <w:autoSpaceDN w:val="0"/>
              <w:adjustRightInd w:val="0"/>
              <w:spacing w:before="102"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C75E1">
              <w:rPr>
                <w:rFonts w:ascii="Tahoma" w:hAnsi="Tahoma" w:cs="Tahoma"/>
                <w:sz w:val="20"/>
                <w:szCs w:val="20"/>
              </w:rPr>
              <w:t>1.431.872,00</w:t>
            </w:r>
          </w:p>
        </w:tc>
      </w:tr>
      <w:bookmarkEnd w:id="0"/>
    </w:tbl>
    <w:p w14:paraId="16DDA82E" w14:textId="77777777" w:rsidR="004C1BDE" w:rsidRPr="00EC75E1" w:rsidRDefault="004C1BDE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0899A57" w14:textId="77777777" w:rsidR="00D54569" w:rsidRPr="00EC75E1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4526CB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921C71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FE01EB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40820E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6E2716A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2CEDD8DE" wp14:editId="2442BDD4">
            <wp:extent cx="6067425" cy="4772025"/>
            <wp:effectExtent l="0" t="0" r="0" b="0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825DE4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FCC28E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64AC04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CBE1AE8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589121D8" wp14:editId="679E0CED">
            <wp:extent cx="6267450" cy="4829175"/>
            <wp:effectExtent l="0" t="0" r="0" b="0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1B374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325A37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5FC2CC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64E720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A798F6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47F048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7DCE1D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FD1D83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5FA1C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FCDF7F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BAF23D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8FF9A4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0CF145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34B8F4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4C3F8B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1D2A977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0600C52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66987A1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0290365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7181A91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16405FAD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3EA3408C" w14:textId="77777777" w:rsidR="00402550" w:rsidRPr="00D54569" w:rsidRDefault="0040255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17F00664" w14:textId="77777777" w:rsidR="00D85D2E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6E31E166" w14:textId="77777777" w:rsidR="0007307C" w:rsidRDefault="0007307C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0AA0F34E" w14:textId="77777777" w:rsidR="00D85D2E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5BA2A484" w14:textId="50EAE642" w:rsidR="00D54569" w:rsidRPr="000E3B1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0E3B19">
        <w:rPr>
          <w:rFonts w:ascii="Verdana" w:eastAsia="Verdana" w:hAnsi="Verdana" w:cs="Courier New"/>
          <w:b/>
          <w:sz w:val="20"/>
          <w:szCs w:val="20"/>
        </w:rPr>
        <w:lastRenderedPageBreak/>
        <w:t>RASH</w:t>
      </w:r>
      <w:r w:rsidR="008424D1" w:rsidRPr="000E3B19">
        <w:rPr>
          <w:rFonts w:ascii="Verdana" w:eastAsia="Verdana" w:hAnsi="Verdana" w:cs="Courier New"/>
          <w:b/>
          <w:sz w:val="20"/>
          <w:szCs w:val="20"/>
        </w:rPr>
        <w:t>ODI</w:t>
      </w:r>
      <w:r w:rsidR="00EF1479" w:rsidRPr="000E3B19">
        <w:rPr>
          <w:rFonts w:ascii="Verdana" w:eastAsia="Verdana" w:hAnsi="Verdana" w:cs="Courier New"/>
          <w:b/>
          <w:sz w:val="20"/>
          <w:szCs w:val="20"/>
        </w:rPr>
        <w:t xml:space="preserve"> I IZDACI</w:t>
      </w:r>
      <w:r w:rsidR="008424D1" w:rsidRPr="000E3B19">
        <w:rPr>
          <w:rFonts w:ascii="Verdana" w:eastAsia="Verdana" w:hAnsi="Verdana" w:cs="Courier New"/>
          <w:b/>
          <w:sz w:val="20"/>
          <w:szCs w:val="20"/>
        </w:rPr>
        <w:t xml:space="preserve"> PROJEKCIJE PRORAČUNA ZA 202</w:t>
      </w:r>
      <w:r w:rsidR="008E698B" w:rsidRPr="000E3B19">
        <w:rPr>
          <w:rFonts w:ascii="Verdana" w:eastAsia="Verdana" w:hAnsi="Verdana" w:cs="Courier New"/>
          <w:b/>
          <w:sz w:val="20"/>
          <w:szCs w:val="20"/>
        </w:rPr>
        <w:t>5</w:t>
      </w:r>
      <w:r w:rsidR="00625FC8" w:rsidRPr="000E3B19">
        <w:rPr>
          <w:rFonts w:ascii="Verdana" w:eastAsia="Verdana" w:hAnsi="Verdana" w:cs="Courier New"/>
          <w:b/>
          <w:sz w:val="20"/>
          <w:szCs w:val="20"/>
        </w:rPr>
        <w:t>. I 202</w:t>
      </w:r>
      <w:r w:rsidR="008E698B" w:rsidRPr="000E3B19">
        <w:rPr>
          <w:rFonts w:ascii="Verdana" w:eastAsia="Verdana" w:hAnsi="Verdana" w:cs="Courier New"/>
          <w:b/>
          <w:sz w:val="20"/>
          <w:szCs w:val="20"/>
        </w:rPr>
        <w:t>6</w:t>
      </w:r>
      <w:r w:rsidRPr="000E3B19">
        <w:rPr>
          <w:rFonts w:ascii="Verdana" w:eastAsia="Verdana" w:hAnsi="Verdana" w:cs="Courier New"/>
          <w:b/>
          <w:sz w:val="20"/>
          <w:szCs w:val="20"/>
        </w:rPr>
        <w:t>. GODINU</w:t>
      </w:r>
    </w:p>
    <w:p w14:paraId="098E4A1A" w14:textId="77777777" w:rsidR="00D85D2E" w:rsidRPr="000E3B19" w:rsidRDefault="00D85D2E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32BD7B5F" w14:textId="77777777" w:rsidR="00D54569" w:rsidRPr="000E3B1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0E3B19" w:rsidRPr="000E3B19" w14:paraId="64BFA9BB" w14:textId="77777777" w:rsidTr="00D54569">
        <w:tc>
          <w:tcPr>
            <w:tcW w:w="4928" w:type="dxa"/>
            <w:shd w:val="clear" w:color="auto" w:fill="auto"/>
          </w:tcPr>
          <w:p w14:paraId="2A32C0A2" w14:textId="77777777" w:rsidR="0007307C" w:rsidRPr="000E3B19" w:rsidRDefault="0007307C" w:rsidP="00D5456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>RASHODI PROJEKCIJE PRORAČUNA</w:t>
            </w:r>
          </w:p>
        </w:tc>
        <w:tc>
          <w:tcPr>
            <w:tcW w:w="2126" w:type="dxa"/>
            <w:shd w:val="clear" w:color="auto" w:fill="auto"/>
          </w:tcPr>
          <w:p w14:paraId="7814C783" w14:textId="77777777" w:rsidR="0007307C" w:rsidRPr="000E3B19" w:rsidRDefault="0007307C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>Projekcija proračuna 2024.</w:t>
            </w:r>
          </w:p>
        </w:tc>
        <w:tc>
          <w:tcPr>
            <w:tcW w:w="2126" w:type="dxa"/>
            <w:shd w:val="clear" w:color="auto" w:fill="auto"/>
          </w:tcPr>
          <w:p w14:paraId="5036E36D" w14:textId="77777777" w:rsidR="0007307C" w:rsidRPr="000E3B19" w:rsidRDefault="0007307C" w:rsidP="00ED188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>Projekcija proračuna 2025.</w:t>
            </w:r>
          </w:p>
        </w:tc>
      </w:tr>
      <w:tr w:rsidR="000E3B19" w:rsidRPr="000E3B19" w14:paraId="2667445F" w14:textId="77777777" w:rsidTr="009E4E63">
        <w:tc>
          <w:tcPr>
            <w:tcW w:w="4928" w:type="dxa"/>
            <w:shd w:val="clear" w:color="auto" w:fill="auto"/>
            <w:vAlign w:val="center"/>
          </w:tcPr>
          <w:p w14:paraId="27DF62AC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2126" w:type="dxa"/>
            <w:shd w:val="clear" w:color="auto" w:fill="auto"/>
          </w:tcPr>
          <w:p w14:paraId="3FD91E00" w14:textId="266B92E7" w:rsidR="0007307C" w:rsidRPr="000E3B19" w:rsidRDefault="00EF1479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/>
                <w:bCs/>
                <w:sz w:val="18"/>
                <w:szCs w:val="18"/>
              </w:rPr>
              <w:t>1.362.819</w:t>
            </w:r>
            <w:r w:rsidR="0007307C" w:rsidRPr="000E3B19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0760C4B7" w14:textId="660D49DA" w:rsidR="0007307C" w:rsidRPr="000E3B19" w:rsidRDefault="00EF1479" w:rsidP="00ED188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3B19">
              <w:rPr>
                <w:rFonts w:ascii="Tahoma" w:hAnsi="Tahoma" w:cs="Tahoma"/>
                <w:b/>
                <w:bCs/>
                <w:sz w:val="18"/>
                <w:szCs w:val="18"/>
              </w:rPr>
              <w:t>1.073.279,00</w:t>
            </w:r>
          </w:p>
        </w:tc>
      </w:tr>
      <w:tr w:rsidR="000E3B19" w:rsidRPr="000E3B19" w14:paraId="1BE86FF8" w14:textId="77777777" w:rsidTr="009E4E63">
        <w:tc>
          <w:tcPr>
            <w:tcW w:w="4928" w:type="dxa"/>
            <w:shd w:val="clear" w:color="auto" w:fill="auto"/>
            <w:vAlign w:val="center"/>
          </w:tcPr>
          <w:p w14:paraId="62B6CA93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2126" w:type="dxa"/>
            <w:shd w:val="clear" w:color="auto" w:fill="auto"/>
          </w:tcPr>
          <w:p w14:paraId="19864FFB" w14:textId="66937179" w:rsidR="0007307C" w:rsidRPr="000E3B19" w:rsidRDefault="00EF1479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439.850</w:t>
            </w:r>
            <w:r w:rsidR="0007307C" w:rsidRPr="000E3B19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50B71D36" w14:textId="457D0D96" w:rsidR="0007307C" w:rsidRPr="000E3B19" w:rsidRDefault="00EF1479" w:rsidP="00ED188E">
            <w:pPr>
              <w:jc w:val="right"/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454.100,00</w:t>
            </w:r>
          </w:p>
        </w:tc>
      </w:tr>
      <w:tr w:rsidR="000E3B19" w:rsidRPr="000E3B19" w14:paraId="538F938F" w14:textId="77777777" w:rsidTr="009E4E63">
        <w:tc>
          <w:tcPr>
            <w:tcW w:w="4928" w:type="dxa"/>
            <w:shd w:val="clear" w:color="auto" w:fill="auto"/>
            <w:vAlign w:val="center"/>
          </w:tcPr>
          <w:p w14:paraId="3F1C3E48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2126" w:type="dxa"/>
            <w:shd w:val="clear" w:color="auto" w:fill="auto"/>
          </w:tcPr>
          <w:p w14:paraId="398E2B0C" w14:textId="29862FC3" w:rsidR="0007307C" w:rsidRPr="000E3B19" w:rsidRDefault="00EF1479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630.369</w:t>
            </w:r>
            <w:r w:rsidR="0007307C" w:rsidRPr="000E3B19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1E162B80" w14:textId="1A799144" w:rsidR="0007307C" w:rsidRPr="000E3B19" w:rsidRDefault="00EF1479" w:rsidP="00ED188E">
            <w:pPr>
              <w:jc w:val="right"/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405.924,00</w:t>
            </w:r>
          </w:p>
        </w:tc>
      </w:tr>
      <w:tr w:rsidR="000E3B19" w:rsidRPr="000E3B19" w14:paraId="0D71D450" w14:textId="77777777" w:rsidTr="009E4E63">
        <w:tc>
          <w:tcPr>
            <w:tcW w:w="4928" w:type="dxa"/>
            <w:shd w:val="clear" w:color="auto" w:fill="auto"/>
            <w:vAlign w:val="center"/>
          </w:tcPr>
          <w:p w14:paraId="461CA86B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126" w:type="dxa"/>
            <w:shd w:val="clear" w:color="auto" w:fill="auto"/>
          </w:tcPr>
          <w:p w14:paraId="5475F80C" w14:textId="0AD1D424" w:rsidR="0007307C" w:rsidRPr="000E3B19" w:rsidRDefault="00EF1479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13.530</w:t>
            </w:r>
            <w:r w:rsidR="0007307C" w:rsidRPr="000E3B19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4CB9C2C5" w14:textId="3E505172" w:rsidR="0007307C" w:rsidRPr="000E3B19" w:rsidRDefault="00EF1479" w:rsidP="00ED188E">
            <w:pPr>
              <w:jc w:val="right"/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13,580,00</w:t>
            </w:r>
          </w:p>
        </w:tc>
      </w:tr>
      <w:tr w:rsidR="000E3B19" w:rsidRPr="000E3B19" w14:paraId="47066F83" w14:textId="77777777" w:rsidTr="009E4E63">
        <w:tc>
          <w:tcPr>
            <w:tcW w:w="4928" w:type="dxa"/>
            <w:shd w:val="clear" w:color="auto" w:fill="auto"/>
            <w:vAlign w:val="center"/>
          </w:tcPr>
          <w:p w14:paraId="62EAC53F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>35 Subvencije</w:t>
            </w:r>
          </w:p>
        </w:tc>
        <w:tc>
          <w:tcPr>
            <w:tcW w:w="2126" w:type="dxa"/>
            <w:shd w:val="clear" w:color="auto" w:fill="auto"/>
          </w:tcPr>
          <w:p w14:paraId="639DE6F7" w14:textId="14B8E030" w:rsidR="0007307C" w:rsidRPr="000E3B19" w:rsidRDefault="00EF1479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38.000</w:t>
            </w:r>
            <w:r w:rsidR="0007307C" w:rsidRPr="000E3B19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3BB26CD8" w14:textId="59BD5128" w:rsidR="0007307C" w:rsidRPr="000E3B19" w:rsidRDefault="00EF1479" w:rsidP="00ED188E">
            <w:pPr>
              <w:jc w:val="right"/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38.000,00</w:t>
            </w:r>
          </w:p>
        </w:tc>
      </w:tr>
      <w:tr w:rsidR="000E3B19" w:rsidRPr="000E3B19" w14:paraId="268F3494" w14:textId="77777777" w:rsidTr="009E4E63">
        <w:tc>
          <w:tcPr>
            <w:tcW w:w="4928" w:type="dxa"/>
            <w:shd w:val="clear" w:color="auto" w:fill="auto"/>
            <w:vAlign w:val="center"/>
          </w:tcPr>
          <w:p w14:paraId="5CF0D4A5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2126" w:type="dxa"/>
            <w:shd w:val="clear" w:color="auto" w:fill="auto"/>
          </w:tcPr>
          <w:p w14:paraId="1E1AB8E7" w14:textId="1CA8B379" w:rsidR="0007307C" w:rsidRPr="000E3B19" w:rsidRDefault="00EF1479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0E3B19">
              <w:rPr>
                <w:rFonts w:ascii="Verdana" w:eastAsia="Verdana" w:hAnsi="Verdana" w:cs="Courier New"/>
                <w:bCs/>
                <w:sz w:val="18"/>
                <w:szCs w:val="18"/>
              </w:rPr>
              <w:t>104.215</w:t>
            </w:r>
            <w:r w:rsidR="0007307C" w:rsidRPr="000E3B19"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02342C2C" w14:textId="6D570683" w:rsidR="0007307C" w:rsidRPr="000E3B19" w:rsidRDefault="00EF1479" w:rsidP="00ED188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0E3B19">
              <w:rPr>
                <w:rFonts w:ascii="Verdana" w:eastAsia="Verdana" w:hAnsi="Verdana" w:cs="Courier New"/>
                <w:bCs/>
                <w:sz w:val="18"/>
                <w:szCs w:val="18"/>
              </w:rPr>
              <w:t>24.585,00</w:t>
            </w:r>
          </w:p>
        </w:tc>
      </w:tr>
      <w:tr w:rsidR="000E3B19" w:rsidRPr="000E3B19" w14:paraId="32EB1B8E" w14:textId="77777777" w:rsidTr="009E4E63">
        <w:tc>
          <w:tcPr>
            <w:tcW w:w="4928" w:type="dxa"/>
            <w:shd w:val="clear" w:color="auto" w:fill="auto"/>
            <w:vAlign w:val="center"/>
          </w:tcPr>
          <w:p w14:paraId="5EE0EC21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2126" w:type="dxa"/>
            <w:shd w:val="clear" w:color="auto" w:fill="auto"/>
          </w:tcPr>
          <w:p w14:paraId="75CFA113" w14:textId="19F0F458" w:rsidR="0007307C" w:rsidRPr="000E3B19" w:rsidRDefault="00EF1479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55.310</w:t>
            </w:r>
            <w:r w:rsidR="0007307C" w:rsidRPr="000E3B19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3963561B" w14:textId="095BC04B" w:rsidR="0007307C" w:rsidRPr="000E3B19" w:rsidRDefault="00EF1479" w:rsidP="00ED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55.910,00</w:t>
            </w:r>
          </w:p>
        </w:tc>
      </w:tr>
      <w:tr w:rsidR="000E3B19" w:rsidRPr="000E3B19" w14:paraId="598962D5" w14:textId="77777777" w:rsidTr="009E4E63">
        <w:tc>
          <w:tcPr>
            <w:tcW w:w="4928" w:type="dxa"/>
            <w:shd w:val="clear" w:color="auto" w:fill="auto"/>
            <w:vAlign w:val="center"/>
          </w:tcPr>
          <w:p w14:paraId="008CF6F3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2126" w:type="dxa"/>
            <w:shd w:val="clear" w:color="auto" w:fill="auto"/>
          </w:tcPr>
          <w:p w14:paraId="3AEA6C05" w14:textId="42D59AED" w:rsidR="0007307C" w:rsidRPr="000E3B19" w:rsidRDefault="00EF1479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81.545</w:t>
            </w:r>
            <w:r w:rsidR="0007307C" w:rsidRPr="000E3B19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4E3EC7F2" w14:textId="5A5CFC19" w:rsidR="0007307C" w:rsidRPr="000E3B19" w:rsidRDefault="00EF1479" w:rsidP="00ED188E">
            <w:pPr>
              <w:jc w:val="right"/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81.180,00</w:t>
            </w:r>
          </w:p>
        </w:tc>
      </w:tr>
      <w:tr w:rsidR="000E3B19" w:rsidRPr="000E3B19" w14:paraId="07A60531" w14:textId="77777777" w:rsidTr="009E4E63">
        <w:tc>
          <w:tcPr>
            <w:tcW w:w="4928" w:type="dxa"/>
            <w:shd w:val="clear" w:color="auto" w:fill="auto"/>
            <w:vAlign w:val="center"/>
          </w:tcPr>
          <w:p w14:paraId="06A17001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</w:tcPr>
          <w:p w14:paraId="7A529C0B" w14:textId="149EBE30" w:rsidR="0007307C" w:rsidRPr="000E3B19" w:rsidRDefault="000E3B19" w:rsidP="000E3B19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</w:t>
            </w:r>
            <w:r w:rsidR="00EF1479" w:rsidRPr="000E3B19">
              <w:rPr>
                <w:rFonts w:ascii="Tahoma" w:hAnsi="Tahoma" w:cs="Tahoma"/>
                <w:b/>
                <w:bCs/>
                <w:sz w:val="18"/>
                <w:szCs w:val="18"/>
              </w:rPr>
              <w:t>894.058</w:t>
            </w:r>
            <w:r w:rsidR="0007307C" w:rsidRPr="000E3B19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4E394F5A" w14:textId="69952622" w:rsidR="0007307C" w:rsidRPr="000E3B19" w:rsidRDefault="00EF1479" w:rsidP="00ED188E">
            <w:pPr>
              <w:widowControl w:val="0"/>
              <w:autoSpaceDE w:val="0"/>
              <w:autoSpaceDN w:val="0"/>
              <w:adjustRightInd w:val="0"/>
              <w:spacing w:before="439"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3B19">
              <w:rPr>
                <w:rFonts w:ascii="Tahoma" w:hAnsi="Tahoma" w:cs="Tahoma"/>
                <w:b/>
                <w:bCs/>
                <w:sz w:val="18"/>
                <w:szCs w:val="18"/>
              </w:rPr>
              <w:t>264.593,00</w:t>
            </w:r>
          </w:p>
        </w:tc>
      </w:tr>
      <w:tr w:rsidR="000E3B19" w:rsidRPr="000E3B19" w14:paraId="79E76B24" w14:textId="77777777" w:rsidTr="009E4E63">
        <w:tc>
          <w:tcPr>
            <w:tcW w:w="4928" w:type="dxa"/>
            <w:shd w:val="clear" w:color="auto" w:fill="auto"/>
            <w:vAlign w:val="center"/>
          </w:tcPr>
          <w:p w14:paraId="0721E5F2" w14:textId="77777777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2126" w:type="dxa"/>
            <w:shd w:val="clear" w:color="auto" w:fill="auto"/>
          </w:tcPr>
          <w:p w14:paraId="3A7F30C8" w14:textId="5AE9BF99" w:rsidR="0007307C" w:rsidRPr="000E3B19" w:rsidRDefault="000E3B19" w:rsidP="00ED18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894.058</w:t>
            </w:r>
            <w:r w:rsidR="0007307C" w:rsidRPr="000E3B19">
              <w:rPr>
                <w:rFonts w:ascii="Tahoma" w:hAnsi="Tahoma" w:cs="Tahoma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3C7F4784" w14:textId="3D288C4A" w:rsidR="0007307C" w:rsidRPr="000E3B19" w:rsidRDefault="000E3B19" w:rsidP="00ED188E">
            <w:pPr>
              <w:jc w:val="right"/>
            </w:pPr>
            <w:r w:rsidRPr="000E3B19">
              <w:rPr>
                <w:rFonts w:ascii="Tahoma" w:hAnsi="Tahoma" w:cs="Tahoma"/>
                <w:bCs/>
                <w:sz w:val="18"/>
                <w:szCs w:val="18"/>
              </w:rPr>
              <w:t>264.593,00</w:t>
            </w:r>
          </w:p>
        </w:tc>
      </w:tr>
      <w:tr w:rsidR="000E3B19" w:rsidRPr="000E3B19" w14:paraId="38174B50" w14:textId="77777777" w:rsidTr="009E4E63">
        <w:tc>
          <w:tcPr>
            <w:tcW w:w="4928" w:type="dxa"/>
            <w:shd w:val="clear" w:color="auto" w:fill="auto"/>
            <w:vAlign w:val="center"/>
          </w:tcPr>
          <w:p w14:paraId="3E063C43" w14:textId="3E49D7FF" w:rsidR="0007307C" w:rsidRPr="000E3B19" w:rsidRDefault="000E3B19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  <w:t>5 IZDACI ZA FINANCIJSKU IMOVINU I OTPLATU ZAJMOVA</w:t>
            </w:r>
          </w:p>
        </w:tc>
        <w:tc>
          <w:tcPr>
            <w:tcW w:w="2126" w:type="dxa"/>
            <w:shd w:val="clear" w:color="auto" w:fill="auto"/>
          </w:tcPr>
          <w:p w14:paraId="1042BDAB" w14:textId="33FA3945" w:rsidR="0007307C" w:rsidRPr="000E3B19" w:rsidRDefault="000E3B19" w:rsidP="00ED18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E3B19">
              <w:rPr>
                <w:rFonts w:ascii="Tahoma" w:hAnsi="Tahoma" w:cs="Tahoma"/>
                <w:b/>
                <w:sz w:val="18"/>
                <w:szCs w:val="18"/>
              </w:rPr>
              <w:t>94.000,00</w:t>
            </w:r>
          </w:p>
        </w:tc>
        <w:tc>
          <w:tcPr>
            <w:tcW w:w="2126" w:type="dxa"/>
            <w:shd w:val="clear" w:color="auto" w:fill="auto"/>
          </w:tcPr>
          <w:p w14:paraId="6B730F1A" w14:textId="3865EC10" w:rsidR="0007307C" w:rsidRPr="000E3B19" w:rsidRDefault="000E3B19" w:rsidP="00ED188E">
            <w:pPr>
              <w:jc w:val="right"/>
              <w:rPr>
                <w:b/>
              </w:rPr>
            </w:pPr>
            <w:r w:rsidRPr="000E3B19">
              <w:rPr>
                <w:rFonts w:ascii="Tahoma" w:hAnsi="Tahoma" w:cs="Tahoma"/>
                <w:b/>
                <w:sz w:val="18"/>
                <w:szCs w:val="18"/>
              </w:rPr>
              <w:t>94.000,00</w:t>
            </w:r>
          </w:p>
        </w:tc>
      </w:tr>
      <w:tr w:rsidR="000E3B19" w:rsidRPr="000E3B19" w14:paraId="7F035186" w14:textId="77777777" w:rsidTr="009E4E63">
        <w:tc>
          <w:tcPr>
            <w:tcW w:w="4928" w:type="dxa"/>
            <w:shd w:val="clear" w:color="auto" w:fill="auto"/>
            <w:vAlign w:val="center"/>
          </w:tcPr>
          <w:p w14:paraId="5FB5483C" w14:textId="007DF8A7" w:rsidR="000E3B19" w:rsidRPr="000E3B19" w:rsidRDefault="000E3B19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sz w:val="20"/>
                <w:szCs w:val="20"/>
              </w:rPr>
              <w:t>54 Izdaci za otplatu glavnice primljenih zajmova</w:t>
            </w:r>
          </w:p>
        </w:tc>
        <w:tc>
          <w:tcPr>
            <w:tcW w:w="2126" w:type="dxa"/>
            <w:shd w:val="clear" w:color="auto" w:fill="auto"/>
          </w:tcPr>
          <w:p w14:paraId="48A104A8" w14:textId="6A856373" w:rsidR="000E3B19" w:rsidRPr="000E3B19" w:rsidRDefault="000E3B19" w:rsidP="00ED188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E3B19">
              <w:rPr>
                <w:rFonts w:ascii="Tahoma" w:hAnsi="Tahoma" w:cs="Tahoma"/>
                <w:sz w:val="18"/>
                <w:szCs w:val="18"/>
              </w:rPr>
              <w:t>94.000,00</w:t>
            </w:r>
          </w:p>
        </w:tc>
        <w:tc>
          <w:tcPr>
            <w:tcW w:w="2126" w:type="dxa"/>
            <w:shd w:val="clear" w:color="auto" w:fill="auto"/>
          </w:tcPr>
          <w:p w14:paraId="643C7938" w14:textId="6C4314B6" w:rsidR="000E3B19" w:rsidRPr="000E3B19" w:rsidRDefault="000E3B19" w:rsidP="00ED188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E3B19">
              <w:rPr>
                <w:rFonts w:ascii="Tahoma" w:hAnsi="Tahoma" w:cs="Tahoma"/>
                <w:sz w:val="18"/>
                <w:szCs w:val="18"/>
              </w:rPr>
              <w:t>94.000,00</w:t>
            </w:r>
          </w:p>
        </w:tc>
      </w:tr>
      <w:tr w:rsidR="0007307C" w:rsidRPr="000E3B19" w14:paraId="2F4508BE" w14:textId="77777777" w:rsidTr="009E4E63">
        <w:tc>
          <w:tcPr>
            <w:tcW w:w="4928" w:type="dxa"/>
            <w:shd w:val="clear" w:color="auto" w:fill="auto"/>
            <w:vAlign w:val="center"/>
          </w:tcPr>
          <w:p w14:paraId="70B10112" w14:textId="775AACE1" w:rsidR="0007307C" w:rsidRPr="000E3B19" w:rsidRDefault="0007307C" w:rsidP="009E4E6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E3B19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</w:t>
            </w:r>
            <w:r w:rsidR="000E3B19" w:rsidRPr="000E3B19">
              <w:rPr>
                <w:rFonts w:ascii="Verdana" w:eastAsia="Verdana" w:hAnsi="Verdana" w:cs="Courier New"/>
                <w:b/>
                <w:sz w:val="20"/>
                <w:szCs w:val="20"/>
              </w:rPr>
              <w:t>+5</w:t>
            </w:r>
            <w:r w:rsidRPr="000E3B19">
              <w:rPr>
                <w:rFonts w:ascii="Verdana" w:eastAsia="Verdana" w:hAnsi="Verdana" w:cs="Courier New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182F48B" w14:textId="734828E2" w:rsidR="0007307C" w:rsidRPr="000E3B19" w:rsidRDefault="000E3B19" w:rsidP="00ED188E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3B19">
              <w:rPr>
                <w:rFonts w:ascii="Times New Roman" w:hAnsi="Times New Roman"/>
                <w:b/>
                <w:bCs/>
                <w:sz w:val="24"/>
                <w:szCs w:val="24"/>
              </w:rPr>
              <w:t>2.350.877</w:t>
            </w:r>
            <w:r w:rsidR="0007307C" w:rsidRPr="000E3B19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14:paraId="27EC4CA4" w14:textId="02DCB460" w:rsidR="0007307C" w:rsidRPr="000E3B19" w:rsidRDefault="000E3B19" w:rsidP="00ED188E">
            <w:pPr>
              <w:widowControl w:val="0"/>
              <w:autoSpaceDE w:val="0"/>
              <w:autoSpaceDN w:val="0"/>
              <w:adjustRightInd w:val="0"/>
              <w:spacing w:before="495" w:after="0" w:line="240" w:lineRule="auto"/>
              <w:jc w:val="right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0E3B19">
              <w:rPr>
                <w:rFonts w:ascii="Times New Roman" w:hAnsi="Times New Roman"/>
                <w:b/>
                <w:bCs/>
                <w:sz w:val="24"/>
                <w:szCs w:val="24"/>
              </w:rPr>
              <w:t>1.431.872,00</w:t>
            </w:r>
          </w:p>
        </w:tc>
      </w:tr>
    </w:tbl>
    <w:p w14:paraId="066D40B6" w14:textId="77777777" w:rsidR="00D54569" w:rsidRPr="000E3B1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85837DF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7E8AB05A" wp14:editId="21BC9744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048375" cy="6105525"/>
            <wp:effectExtent l="0" t="0" r="0" b="0"/>
            <wp:wrapSquare wrapText="bothSides"/>
            <wp:docPr id="9" name="Objek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5B6430DD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2DB379BC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951E6E7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614224E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D74E3E0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856E489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88A45A5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B9E97AA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E2D54F7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C21331C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20B2BFE5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4787E73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D97B57B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6019EFE5" w14:textId="77777777" w:rsidR="008E1D9E" w:rsidRDefault="00A02CE6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6FD41344" wp14:editId="25E98069">
            <wp:extent cx="5924550" cy="5715000"/>
            <wp:effectExtent l="0" t="0" r="0" b="0"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151794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6A367E7A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79EF5DF" w14:textId="77777777" w:rsidR="000A705C" w:rsidRPr="00D54569" w:rsidRDefault="000A705C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384B46E7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b/>
          <w:sz w:val="20"/>
          <w:szCs w:val="20"/>
        </w:rPr>
      </w:pPr>
      <w:r w:rsidRPr="00D54569">
        <w:rPr>
          <w:rFonts w:ascii="Verdana" w:eastAsia="Verdana" w:hAnsi="Verdana"/>
          <w:b/>
          <w:sz w:val="20"/>
          <w:szCs w:val="20"/>
        </w:rPr>
        <w:t>Važni kontakti i korisne informacije:</w:t>
      </w:r>
    </w:p>
    <w:p w14:paraId="3AEBCC0F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>Kontakt telefon: 032 514-184, 514-185</w:t>
      </w:r>
      <w:r w:rsidR="00AD5885">
        <w:rPr>
          <w:rFonts w:ascii="Verdana" w:eastAsia="Verdana" w:hAnsi="Verdana"/>
          <w:sz w:val="20"/>
          <w:szCs w:val="20"/>
        </w:rPr>
        <w:t>.</w:t>
      </w:r>
    </w:p>
    <w:p w14:paraId="03002183" w14:textId="77777777" w:rsidR="00D54569" w:rsidRPr="00D54569" w:rsidRDefault="00D54569" w:rsidP="00D54569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Internet adresa: </w:t>
      </w:r>
      <w:hyperlink r:id="rId17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www.opcina-tompojevci.hr</w:t>
        </w:r>
      </w:hyperlink>
    </w:p>
    <w:p w14:paraId="37124BB3" w14:textId="77777777" w:rsidR="00D54569" w:rsidRPr="00D54569" w:rsidRDefault="00D54569" w:rsidP="00D54569">
      <w:pPr>
        <w:tabs>
          <w:tab w:val="left" w:pos="6840"/>
        </w:tabs>
        <w:rPr>
          <w:rFonts w:ascii="Verdana" w:eastAsia="Verdana" w:hAnsi="Verdana"/>
          <w:sz w:val="20"/>
          <w:szCs w:val="20"/>
        </w:rPr>
        <w:sectPr w:rsidR="00D54569" w:rsidRPr="00D54569" w:rsidSect="006E338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1418" w:right="1418" w:bottom="1418" w:left="1418" w:header="708" w:footer="708" w:gutter="0"/>
          <w:cols w:space="708"/>
          <w:docGrid w:linePitch="360"/>
        </w:sectPr>
      </w:pPr>
      <w:r w:rsidRPr="00D54569"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 : </w:t>
      </w:r>
      <w:hyperlink r:id="rId24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opcina-tompojevci@vk.t-com.hr</w:t>
        </w:r>
      </w:hyperlink>
    </w:p>
    <w:p w14:paraId="53EED2D7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 xml:space="preserve">            </w:t>
      </w:r>
      <w:r w:rsidRPr="00D54569">
        <w:rPr>
          <w:rFonts w:ascii="Verdana" w:eastAsia="Verdana" w:hAnsi="Verdana" w:cs="Courier New"/>
          <w:sz w:val="20"/>
          <w:szCs w:val="20"/>
        </w:rPr>
        <w:br w:type="textWrapping" w:clear="all"/>
      </w:r>
    </w:p>
    <w:p w14:paraId="0C1B7786" w14:textId="77777777" w:rsidR="007A71F1" w:rsidRDefault="007A71F1"/>
    <w:sectPr w:rsidR="007A71F1" w:rsidSect="00D545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C7B9" w14:textId="77777777" w:rsidR="00895872" w:rsidRDefault="00895872">
      <w:pPr>
        <w:spacing w:after="0" w:line="240" w:lineRule="auto"/>
      </w:pPr>
      <w:r>
        <w:separator/>
      </w:r>
    </w:p>
  </w:endnote>
  <w:endnote w:type="continuationSeparator" w:id="0">
    <w:p w14:paraId="6FCE2F39" w14:textId="77777777" w:rsidR="00895872" w:rsidRDefault="0089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55B6" w14:textId="77777777" w:rsidR="00481350" w:rsidRDefault="004813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D52" w14:textId="77777777" w:rsidR="00481350" w:rsidRDefault="00481350">
    <w:pPr>
      <w:pStyle w:val="Podnoje"/>
    </w:pPr>
  </w:p>
  <w:p w14:paraId="3CC70A20" w14:textId="77777777" w:rsidR="00481350" w:rsidRDefault="00481350">
    <w:pPr>
      <w:pStyle w:val="Podnoje"/>
    </w:pPr>
  </w:p>
  <w:p w14:paraId="3ADC5554" w14:textId="77777777" w:rsidR="00481350" w:rsidRDefault="0048135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520B" w14:textId="77777777" w:rsidR="00481350" w:rsidRDefault="004813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2984" w14:textId="77777777" w:rsidR="00895872" w:rsidRDefault="00895872">
      <w:pPr>
        <w:spacing w:after="0" w:line="240" w:lineRule="auto"/>
      </w:pPr>
      <w:r>
        <w:separator/>
      </w:r>
    </w:p>
  </w:footnote>
  <w:footnote w:type="continuationSeparator" w:id="0">
    <w:p w14:paraId="5A63044E" w14:textId="77777777" w:rsidR="00895872" w:rsidRDefault="0089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55D0" w14:textId="77777777" w:rsidR="00481350" w:rsidRDefault="004813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8DCB" w14:textId="77777777" w:rsidR="00481350" w:rsidRDefault="0048135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F141" w14:textId="77777777" w:rsidR="00481350" w:rsidRDefault="004813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3105C"/>
    <w:multiLevelType w:val="hybridMultilevel"/>
    <w:tmpl w:val="8ED29D2A"/>
    <w:lvl w:ilvl="0" w:tplc="5F445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10933">
    <w:abstractNumId w:val="5"/>
  </w:num>
  <w:num w:numId="2" w16cid:durableId="605650627">
    <w:abstractNumId w:val="4"/>
  </w:num>
  <w:num w:numId="3" w16cid:durableId="582036120">
    <w:abstractNumId w:val="7"/>
  </w:num>
  <w:num w:numId="4" w16cid:durableId="757754439">
    <w:abstractNumId w:val="2"/>
  </w:num>
  <w:num w:numId="5" w16cid:durableId="1463032601">
    <w:abstractNumId w:val="8"/>
  </w:num>
  <w:num w:numId="6" w16cid:durableId="1456368125">
    <w:abstractNumId w:val="3"/>
  </w:num>
  <w:num w:numId="7" w16cid:durableId="1940794993">
    <w:abstractNumId w:val="1"/>
  </w:num>
  <w:num w:numId="8" w16cid:durableId="1663124288">
    <w:abstractNumId w:val="0"/>
  </w:num>
  <w:num w:numId="9" w16cid:durableId="470442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569"/>
    <w:rsid w:val="00021686"/>
    <w:rsid w:val="00025321"/>
    <w:rsid w:val="00033232"/>
    <w:rsid w:val="00033E80"/>
    <w:rsid w:val="000478EC"/>
    <w:rsid w:val="00057F30"/>
    <w:rsid w:val="000666A7"/>
    <w:rsid w:val="00070B55"/>
    <w:rsid w:val="0007307C"/>
    <w:rsid w:val="000803F0"/>
    <w:rsid w:val="00086F7E"/>
    <w:rsid w:val="000A705C"/>
    <w:rsid w:val="000D35DF"/>
    <w:rsid w:val="000E3B19"/>
    <w:rsid w:val="000E66DB"/>
    <w:rsid w:val="000F477A"/>
    <w:rsid w:val="00105FA4"/>
    <w:rsid w:val="001071A6"/>
    <w:rsid w:val="00125E34"/>
    <w:rsid w:val="00137B47"/>
    <w:rsid w:val="001679C3"/>
    <w:rsid w:val="001B031F"/>
    <w:rsid w:val="001B31CC"/>
    <w:rsid w:val="001B7577"/>
    <w:rsid w:val="001F0101"/>
    <w:rsid w:val="0020046F"/>
    <w:rsid w:val="002112D2"/>
    <w:rsid w:val="00211363"/>
    <w:rsid w:val="002575CB"/>
    <w:rsid w:val="00261BF9"/>
    <w:rsid w:val="00262468"/>
    <w:rsid w:val="00271A39"/>
    <w:rsid w:val="00280040"/>
    <w:rsid w:val="002B037B"/>
    <w:rsid w:val="002B7E59"/>
    <w:rsid w:val="002C087C"/>
    <w:rsid w:val="002C2B8E"/>
    <w:rsid w:val="002C7DC7"/>
    <w:rsid w:val="002F21D6"/>
    <w:rsid w:val="00345F8D"/>
    <w:rsid w:val="00370829"/>
    <w:rsid w:val="003849DF"/>
    <w:rsid w:val="003B6FFE"/>
    <w:rsid w:val="003C1B0F"/>
    <w:rsid w:val="003D36A3"/>
    <w:rsid w:val="003E0D37"/>
    <w:rsid w:val="003F66EC"/>
    <w:rsid w:val="00402550"/>
    <w:rsid w:val="004303CA"/>
    <w:rsid w:val="00436E4F"/>
    <w:rsid w:val="00436EDA"/>
    <w:rsid w:val="0044550D"/>
    <w:rsid w:val="00462111"/>
    <w:rsid w:val="004714DD"/>
    <w:rsid w:val="00477527"/>
    <w:rsid w:val="00481350"/>
    <w:rsid w:val="00490A1A"/>
    <w:rsid w:val="00492E5B"/>
    <w:rsid w:val="004A24DE"/>
    <w:rsid w:val="004C1BDE"/>
    <w:rsid w:val="004C705B"/>
    <w:rsid w:val="004C7BE2"/>
    <w:rsid w:val="004D1D72"/>
    <w:rsid w:val="004D7419"/>
    <w:rsid w:val="004F0CDE"/>
    <w:rsid w:val="00510DA0"/>
    <w:rsid w:val="005146D3"/>
    <w:rsid w:val="005834F0"/>
    <w:rsid w:val="0058508F"/>
    <w:rsid w:val="00595317"/>
    <w:rsid w:val="005D2B07"/>
    <w:rsid w:val="005F0A21"/>
    <w:rsid w:val="00601217"/>
    <w:rsid w:val="00603035"/>
    <w:rsid w:val="00603837"/>
    <w:rsid w:val="006078B5"/>
    <w:rsid w:val="00625FC8"/>
    <w:rsid w:val="00632DC7"/>
    <w:rsid w:val="00637037"/>
    <w:rsid w:val="00661331"/>
    <w:rsid w:val="00672F0F"/>
    <w:rsid w:val="00676F4F"/>
    <w:rsid w:val="00680647"/>
    <w:rsid w:val="00693F8B"/>
    <w:rsid w:val="006A0754"/>
    <w:rsid w:val="006E338C"/>
    <w:rsid w:val="00706763"/>
    <w:rsid w:val="00707602"/>
    <w:rsid w:val="00713262"/>
    <w:rsid w:val="007221F7"/>
    <w:rsid w:val="00730574"/>
    <w:rsid w:val="007306E7"/>
    <w:rsid w:val="00740DD4"/>
    <w:rsid w:val="007603F1"/>
    <w:rsid w:val="00764668"/>
    <w:rsid w:val="007727EC"/>
    <w:rsid w:val="00784ACA"/>
    <w:rsid w:val="007856BE"/>
    <w:rsid w:val="0079142A"/>
    <w:rsid w:val="007A0546"/>
    <w:rsid w:val="007A446D"/>
    <w:rsid w:val="007A71F1"/>
    <w:rsid w:val="007B2336"/>
    <w:rsid w:val="007D730E"/>
    <w:rsid w:val="007F1C69"/>
    <w:rsid w:val="0080278C"/>
    <w:rsid w:val="00802D8D"/>
    <w:rsid w:val="0082680E"/>
    <w:rsid w:val="00827131"/>
    <w:rsid w:val="00830441"/>
    <w:rsid w:val="008424D1"/>
    <w:rsid w:val="008706D4"/>
    <w:rsid w:val="008721B4"/>
    <w:rsid w:val="0087730B"/>
    <w:rsid w:val="00895872"/>
    <w:rsid w:val="0089695B"/>
    <w:rsid w:val="008E1D9E"/>
    <w:rsid w:val="008E698B"/>
    <w:rsid w:val="008F7281"/>
    <w:rsid w:val="00903AA9"/>
    <w:rsid w:val="009049EB"/>
    <w:rsid w:val="00913D8E"/>
    <w:rsid w:val="00922649"/>
    <w:rsid w:val="00923795"/>
    <w:rsid w:val="00945CA2"/>
    <w:rsid w:val="0096000A"/>
    <w:rsid w:val="00974D95"/>
    <w:rsid w:val="009C6696"/>
    <w:rsid w:val="009D36AF"/>
    <w:rsid w:val="009D7585"/>
    <w:rsid w:val="009E17FD"/>
    <w:rsid w:val="009E4E63"/>
    <w:rsid w:val="009E5CC3"/>
    <w:rsid w:val="009F09D9"/>
    <w:rsid w:val="009F2AA1"/>
    <w:rsid w:val="009F33EE"/>
    <w:rsid w:val="00A02CE6"/>
    <w:rsid w:val="00A174C4"/>
    <w:rsid w:val="00A220AC"/>
    <w:rsid w:val="00A23B97"/>
    <w:rsid w:val="00A2669A"/>
    <w:rsid w:val="00A41810"/>
    <w:rsid w:val="00A4438B"/>
    <w:rsid w:val="00A60A2B"/>
    <w:rsid w:val="00A617F6"/>
    <w:rsid w:val="00A73025"/>
    <w:rsid w:val="00A76877"/>
    <w:rsid w:val="00A83800"/>
    <w:rsid w:val="00A87AB4"/>
    <w:rsid w:val="00AB69B3"/>
    <w:rsid w:val="00AD0E4E"/>
    <w:rsid w:val="00AD5885"/>
    <w:rsid w:val="00AE3DD1"/>
    <w:rsid w:val="00AF503E"/>
    <w:rsid w:val="00B31A33"/>
    <w:rsid w:val="00B32786"/>
    <w:rsid w:val="00B46BAC"/>
    <w:rsid w:val="00B50853"/>
    <w:rsid w:val="00B70B51"/>
    <w:rsid w:val="00B848B8"/>
    <w:rsid w:val="00BB0601"/>
    <w:rsid w:val="00BB546E"/>
    <w:rsid w:val="00BC4DC9"/>
    <w:rsid w:val="00BD45C9"/>
    <w:rsid w:val="00BE09C4"/>
    <w:rsid w:val="00BE5D31"/>
    <w:rsid w:val="00BF28A3"/>
    <w:rsid w:val="00BF3531"/>
    <w:rsid w:val="00C2527B"/>
    <w:rsid w:val="00C25647"/>
    <w:rsid w:val="00C34012"/>
    <w:rsid w:val="00C4324C"/>
    <w:rsid w:val="00C51BB0"/>
    <w:rsid w:val="00C54667"/>
    <w:rsid w:val="00C70B59"/>
    <w:rsid w:val="00C7644F"/>
    <w:rsid w:val="00C95651"/>
    <w:rsid w:val="00CA7DF0"/>
    <w:rsid w:val="00CC5F28"/>
    <w:rsid w:val="00CC76EC"/>
    <w:rsid w:val="00CE2235"/>
    <w:rsid w:val="00CE25E7"/>
    <w:rsid w:val="00CE61E6"/>
    <w:rsid w:val="00CF6FEC"/>
    <w:rsid w:val="00D1137D"/>
    <w:rsid w:val="00D241B1"/>
    <w:rsid w:val="00D42FE3"/>
    <w:rsid w:val="00D44588"/>
    <w:rsid w:val="00D474DF"/>
    <w:rsid w:val="00D54569"/>
    <w:rsid w:val="00D57232"/>
    <w:rsid w:val="00D606BE"/>
    <w:rsid w:val="00D65EBD"/>
    <w:rsid w:val="00D70643"/>
    <w:rsid w:val="00D75B03"/>
    <w:rsid w:val="00D81B76"/>
    <w:rsid w:val="00D85D2E"/>
    <w:rsid w:val="00DC4D97"/>
    <w:rsid w:val="00DE1C0F"/>
    <w:rsid w:val="00DE5BEF"/>
    <w:rsid w:val="00DF01D0"/>
    <w:rsid w:val="00E00083"/>
    <w:rsid w:val="00E055B4"/>
    <w:rsid w:val="00E21F8D"/>
    <w:rsid w:val="00E26C7D"/>
    <w:rsid w:val="00E64C06"/>
    <w:rsid w:val="00E67EEC"/>
    <w:rsid w:val="00EA547A"/>
    <w:rsid w:val="00EB19DD"/>
    <w:rsid w:val="00EB397F"/>
    <w:rsid w:val="00EC75E1"/>
    <w:rsid w:val="00ED2C89"/>
    <w:rsid w:val="00ED6B58"/>
    <w:rsid w:val="00EE3E79"/>
    <w:rsid w:val="00EF1479"/>
    <w:rsid w:val="00F10229"/>
    <w:rsid w:val="00F2566B"/>
    <w:rsid w:val="00F447E3"/>
    <w:rsid w:val="00F54B55"/>
    <w:rsid w:val="00F956AD"/>
    <w:rsid w:val="00F96B0F"/>
    <w:rsid w:val="00FA086B"/>
    <w:rsid w:val="00FA35AC"/>
    <w:rsid w:val="00FB0830"/>
    <w:rsid w:val="00FB1758"/>
    <w:rsid w:val="00FC4F3B"/>
    <w:rsid w:val="00FC53E8"/>
    <w:rsid w:val="00FE2EA3"/>
    <w:rsid w:val="00FF1E4E"/>
    <w:rsid w:val="00FF546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ECC"/>
  <w15:docId w15:val="{BC2CADFE-8AB6-462B-96F0-1C75F23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0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47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35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8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3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www.opcina-tompojevci.h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mailto:opcina-tompojevci@vk.t-com.hr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2024.</c:v>
                </c:pt>
                <c:pt idx="1">
                  <c:v>Projekcija za 2025.</c:v>
                </c:pt>
                <c:pt idx="2">
                  <c:v>Projekcija za 2026.</c:v>
                </c:pt>
              </c:strCache>
            </c:strRef>
          </c:cat>
          <c:val>
            <c:numRef>
              <c:f>List1!$B$3:$B$5</c:f>
              <c:numCache>
                <c:formatCode>General</c:formatCode>
                <c:ptCount val="3"/>
                <c:pt idx="0" formatCode="#,##0.00">
                  <c:v>3861348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0-409E-AB41-39FD4914F7D8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Stupac2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2024.</c:v>
                </c:pt>
                <c:pt idx="1">
                  <c:v>Projekcija za 2025.</c:v>
                </c:pt>
                <c:pt idx="2">
                  <c:v>Projekcija za 2026.</c:v>
                </c:pt>
              </c:strCache>
            </c:strRef>
          </c:cat>
          <c:val>
            <c:numRef>
              <c:f>List1!$C$3:$C$5</c:f>
              <c:numCache>
                <c:formatCode>#,##0.00</c:formatCode>
                <c:ptCount val="3"/>
                <c:pt idx="0" formatCode="General">
                  <c:v>2.4</c:v>
                </c:pt>
                <c:pt idx="1">
                  <c:v>2350877</c:v>
                </c:pt>
                <c:pt idx="2" formatCode="General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30-409E-AB41-39FD4914F7D8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Stupac3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List1!$A$3:$A$5</c:f>
              <c:strCache>
                <c:ptCount val="3"/>
                <c:pt idx="0">
                  <c:v>Proračun za 2024.</c:v>
                </c:pt>
                <c:pt idx="1">
                  <c:v>Projekcija za 2025.</c:v>
                </c:pt>
                <c:pt idx="2">
                  <c:v>Projekcija za 2026.</c:v>
                </c:pt>
              </c:strCache>
            </c:strRef>
          </c:cat>
          <c:val>
            <c:numRef>
              <c:f>List1!$D$3:$D$5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 formatCode="#,##0.00">
                  <c:v>1431872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30-409E-AB41-39FD4914F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992896"/>
        <c:axId val="78994432"/>
      </c:barChart>
      <c:catAx>
        <c:axId val="78992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994432"/>
        <c:crosses val="autoZero"/>
        <c:auto val="1"/>
        <c:lblAlgn val="ctr"/>
        <c:lblOffset val="100"/>
        <c:noMultiLvlLbl val="0"/>
      </c:catAx>
      <c:valAx>
        <c:axId val="7899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99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hr-HR" sz="1000">
                <a:solidFill>
                  <a:sysClr val="windowText" lastClr="000000"/>
                </a:solidFill>
              </a:rPr>
              <a:t>Prihodi i primici  za 2024. godinu</a:t>
            </a:r>
            <a:endParaRPr lang="en-US" sz="1000">
              <a:solidFill>
                <a:sysClr val="windowText" lastClr="000000"/>
              </a:solidFill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645E-2"/>
          <c:y val="0.11206246828294072"/>
          <c:w val="0.5772884551402907"/>
          <c:h val="0.762583419276332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
inozemstva(darovnice)
i od subjekata unutar
opće države</c:v>
                </c:pt>
                <c:pt idx="2">
                  <c:v>prihodi od imovine</c:v>
                </c:pt>
                <c:pt idx="3">
                  <c:v>prihodi od 
adminstrativnih 
pristrojbi i po posebnim
propisima</c:v>
                </c:pt>
                <c:pt idx="4">
                  <c:v>Ostali prihodi</c:v>
                </c:pt>
                <c:pt idx="5">
                  <c:v>prihodi od prodaje
neproizvedene imovine</c:v>
                </c:pt>
                <c:pt idx="6">
                  <c:v>prihodi od prodaje proizvedene imovine</c:v>
                </c:pt>
                <c:pt idx="7">
                  <c:v>primici od financijske imovine i zaduživanje</c:v>
                </c:pt>
              </c:strCache>
            </c:strRef>
          </c:cat>
          <c:val>
            <c:numRef>
              <c:f>List1!$B$2:$B$9</c:f>
              <c:numCache>
                <c:formatCode>0.00%</c:formatCode>
                <c:ptCount val="8"/>
                <c:pt idx="0">
                  <c:v>9.0999999999999998E-2</c:v>
                </c:pt>
                <c:pt idx="1">
                  <c:v>0.68369999999999997</c:v>
                </c:pt>
                <c:pt idx="2">
                  <c:v>3.1800000000000002E-2</c:v>
                </c:pt>
                <c:pt idx="3">
                  <c:v>1.47E-2</c:v>
                </c:pt>
                <c:pt idx="4">
                  <c:v>2.0000000000000001E-4</c:v>
                </c:pt>
                <c:pt idx="5">
                  <c:v>4.7000000000000002E-3</c:v>
                </c:pt>
                <c:pt idx="6">
                  <c:v>3.5999999999999999E-3</c:v>
                </c:pt>
                <c:pt idx="7">
                  <c:v>0.1704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FA-45BE-BDAA-1CA242D13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hr-HR" sz="1000">
                <a:solidFill>
                  <a:sysClr val="windowText" lastClr="000000"/>
                </a:solidFill>
              </a:rPr>
              <a:t>Rashodi  i izdaci za 2024. godinu</a:t>
            </a:r>
            <a:endParaRPr lang="en-US" sz="1000">
              <a:solidFill>
                <a:sysClr val="windowText" lastClr="000000"/>
              </a:solidFill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452589553067E-2"/>
          <c:y val="0.12315047937095187"/>
          <c:w val="0.57015827567008703"/>
          <c:h val="0.7509215429703944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 u inozemstvo i unutar opće države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nefinancijske imovine proizvedene dugotrajne imovine</c:v>
                </c:pt>
                <c:pt idx="8">
                  <c:v>Rashodi za dodatna ulganja na nefinancijskoj imovini</c:v>
                </c:pt>
                <c:pt idx="9">
                  <c:v>Izdaci za otplatu glavnice primljenih zajmova</c:v>
                </c:pt>
              </c:strCache>
            </c:strRef>
          </c:cat>
          <c:val>
            <c:numRef>
              <c:f>List1!$B$2:$B$12</c:f>
              <c:numCache>
                <c:formatCode>0.00%</c:formatCode>
                <c:ptCount val="11"/>
                <c:pt idx="0">
                  <c:v>0.1109</c:v>
                </c:pt>
                <c:pt idx="1">
                  <c:v>0.1903</c:v>
                </c:pt>
                <c:pt idx="2">
                  <c:v>3.5000000000000001E-3</c:v>
                </c:pt>
                <c:pt idx="3">
                  <c:v>9.7999999999999997E-3</c:v>
                </c:pt>
                <c:pt idx="4">
                  <c:v>2.87E-2</c:v>
                </c:pt>
                <c:pt idx="5">
                  <c:v>1.43E-2</c:v>
                </c:pt>
                <c:pt idx="6">
                  <c:v>2.0799999999999999E-2</c:v>
                </c:pt>
                <c:pt idx="7">
                  <c:v>0.59360000000000002</c:v>
                </c:pt>
                <c:pt idx="8">
                  <c:v>4.1999999999999997E-3</c:v>
                </c:pt>
                <c:pt idx="9">
                  <c:v>2.4299999999999999E-2</c:v>
                </c:pt>
                <c:pt idx="1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51-4DAF-BA9D-4820BE7D1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925022484077589"/>
          <c:y val="6.7105744435006859E-2"/>
          <c:w val="0.3241585448672063"/>
          <c:h val="0.8745852176641185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hr-HR">
                <a:solidFill>
                  <a:sysClr val="windowText" lastClr="000000"/>
                </a:solidFill>
              </a:rPr>
              <a:t>P</a:t>
            </a:r>
            <a:r>
              <a:rPr lang="en-US">
                <a:solidFill>
                  <a:sysClr val="windowText" lastClr="000000"/>
                </a:solidFill>
              </a:rPr>
              <a:t>rihod</a:t>
            </a:r>
            <a:r>
              <a:rPr lang="hr-HR">
                <a:solidFill>
                  <a:sysClr val="windowText" lastClr="000000"/>
                </a:solidFill>
              </a:rPr>
              <a:t>i</a:t>
            </a:r>
            <a:r>
              <a:rPr lang="hr-HR" baseline="0">
                <a:solidFill>
                  <a:sysClr val="windowText" lastClr="000000"/>
                </a:solidFill>
              </a:rPr>
              <a:t>  i primici projekcije</a:t>
            </a:r>
            <a:r>
              <a:rPr lang="en-US">
                <a:solidFill>
                  <a:sysClr val="windowText" lastClr="000000"/>
                </a:solidFill>
              </a:rPr>
              <a:t> za 20</a:t>
            </a:r>
            <a:r>
              <a:rPr lang="hr-HR">
                <a:solidFill>
                  <a:sysClr val="windowText" lastClr="000000"/>
                </a:solidFill>
              </a:rPr>
              <a:t>25</a:t>
            </a:r>
            <a:r>
              <a:rPr lang="en-US">
                <a:solidFill>
                  <a:sysClr val="windowText" lastClr="000000"/>
                </a:solidFill>
              </a:rPr>
              <a:t>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Projekcija prihoda za 2025.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propsima</c:v>
                </c:pt>
                <c:pt idx="4">
                  <c:v>Ostali prihodi</c:v>
                </c:pt>
                <c:pt idx="5">
                  <c:v>Prihodi od prodaje neproizvedene imovine</c:v>
                </c:pt>
                <c:pt idx="6">
                  <c:v>Prihod od prodaje proizvedene dugotrajne imovine</c:v>
                </c:pt>
              </c:strCache>
            </c:strRef>
          </c:cat>
          <c:val>
            <c:numRef>
              <c:f>List1!$B$2:$B$8</c:f>
              <c:numCache>
                <c:formatCode>0.00%</c:formatCode>
                <c:ptCount val="7"/>
                <c:pt idx="0">
                  <c:v>0.14949999999999999</c:v>
                </c:pt>
                <c:pt idx="1">
                  <c:v>0.76029999999999998</c:v>
                </c:pt>
                <c:pt idx="2">
                  <c:v>5.2200000000000003E-2</c:v>
                </c:pt>
                <c:pt idx="3">
                  <c:v>2.4199999999999999E-2</c:v>
                </c:pt>
                <c:pt idx="4">
                  <c:v>2.9999999999999997E-4</c:v>
                </c:pt>
                <c:pt idx="5">
                  <c:v>7.6E-3</c:v>
                </c:pt>
                <c:pt idx="6">
                  <c:v>5.8999999999999999E-3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06-4E57-A69B-59610D2B86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829408686551538"/>
          <c:y val="0.13567531603459751"/>
          <c:w val="0.33961276818419678"/>
          <c:h val="0.731856182647827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hr-HR">
                <a:solidFill>
                  <a:sysClr val="windowText" lastClr="000000"/>
                </a:solidFill>
              </a:rPr>
              <a:t>Prihodi  i primici projekcije za 2026.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za 2026.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Ostali prihodi</c:v>
                </c:pt>
                <c:pt idx="5">
                  <c:v>Prihodi od prodaje neproizvedene imovine</c:v>
                </c:pt>
                <c:pt idx="6">
                  <c:v>Prihodiod prodaje proizvedene dugotraajne imovine</c:v>
                </c:pt>
              </c:strCache>
            </c:strRef>
          </c:cat>
          <c:val>
            <c:numRef>
              <c:f>List1!$B$2:$B$8</c:f>
              <c:numCache>
                <c:formatCode>0.00%</c:formatCode>
                <c:ptCount val="7"/>
                <c:pt idx="0">
                  <c:v>0.2455</c:v>
                </c:pt>
                <c:pt idx="1">
                  <c:v>0.60650000000000004</c:v>
                </c:pt>
                <c:pt idx="2">
                  <c:v>8.5699999999999998E-2</c:v>
                </c:pt>
                <c:pt idx="3">
                  <c:v>3.9699999999999999E-2</c:v>
                </c:pt>
                <c:pt idx="4">
                  <c:v>5.0000000000000001E-4</c:v>
                </c:pt>
                <c:pt idx="5">
                  <c:v>1.26E-2</c:v>
                </c:pt>
                <c:pt idx="6">
                  <c:v>9.5999999999999992E-3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54-47D7-AD4A-ECE2BBC3D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4842958459979738"/>
          <c:y val="0.2105566685821077"/>
          <c:w val="0.33941236068895642"/>
          <c:h val="0.6767300832958010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en-US" sz="1000"/>
              <a:t>Rashodi </a:t>
            </a:r>
            <a:r>
              <a:rPr lang="hr-HR" sz="1000"/>
              <a:t> i izdaci </a:t>
            </a:r>
            <a:r>
              <a:rPr lang="en-US" sz="1000"/>
              <a:t>projekcije proračuna 202</a:t>
            </a:r>
            <a:r>
              <a:rPr lang="hr-HR" sz="1000"/>
              <a:t>5</a:t>
            </a:r>
            <a:r>
              <a:rPr lang="en-US" sz="1000"/>
              <a:t>. godinu</a:t>
            </a:r>
          </a:p>
        </c:rich>
      </c:tx>
      <c:layout>
        <c:manualLayout>
          <c:xMode val="edge"/>
          <c:yMode val="edge"/>
          <c:x val="0.17685031103395538"/>
          <c:y val="1.66406656266250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31372062744124E-2"/>
          <c:y val="0.114232273227937"/>
          <c:w val="0.52269791472916283"/>
          <c:h val="0.79066190049176766"/>
        </c:manualLayout>
      </c:layout>
      <c:pie3DChart>
        <c:varyColors val="1"/>
        <c:ser>
          <c:idx val="0"/>
          <c:order val="0"/>
          <c:tx>
            <c:strRef>
              <c:f>List1!$B$2</c:f>
              <c:strCache>
                <c:ptCount val="1"/>
                <c:pt idx="0">
                  <c:v>Rashodi projekcije proračuna 2025.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List1!$A$3:$A$12</c:f>
              <c:strCache>
                <c:ptCount val="9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  <c:pt idx="8">
                  <c:v>Izdacu za otplatu glavnice primljrnih zajmova</c:v>
                </c:pt>
              </c:strCache>
            </c:strRef>
          </c:cat>
          <c:val>
            <c:numRef>
              <c:f>List1!$B$3:$B$12</c:f>
              <c:numCache>
                <c:formatCode>0.00</c:formatCode>
                <c:ptCount val="10"/>
                <c:pt idx="0">
                  <c:v>18.71</c:v>
                </c:pt>
                <c:pt idx="1">
                  <c:v>26.81</c:v>
                </c:pt>
                <c:pt idx="2">
                  <c:v>0.57999999999999996</c:v>
                </c:pt>
                <c:pt idx="3">
                  <c:v>1.62</c:v>
                </c:pt>
                <c:pt idx="4">
                  <c:v>4.43</c:v>
                </c:pt>
                <c:pt idx="5">
                  <c:v>2.35</c:v>
                </c:pt>
                <c:pt idx="6">
                  <c:v>3.47</c:v>
                </c:pt>
                <c:pt idx="7">
                  <c:v>38.03</c:v>
                </c:pt>
                <c:pt idx="8" formatCode="0.0">
                  <c:v>4</c:v>
                </c:pt>
                <c:pt idx="9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CD-407E-8E67-D3EF04D824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016223365780068"/>
          <c:y val="9.1487300436899371E-2"/>
          <c:w val="0.33723934114534898"/>
          <c:h val="0.8299322335098128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6</a:t>
            </a:r>
            <a:r>
              <a:rPr lang="en-US" sz="1000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410377159446706E-2"/>
          <c:y val="0.15112160979877512"/>
          <c:w val="0.54442632773797117"/>
          <c:h val="0.7848790901137361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2026. godinu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List1!$A$2:$A$11</c:f>
              <c:strCache>
                <c:ptCount val="9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  <c:pt idx="8">
                  <c:v>Izdaci za otplatu glavnice primljenih zajmova </c:v>
                </c:pt>
              </c:strCache>
            </c:strRef>
          </c:cat>
          <c:val>
            <c:numRef>
              <c:f>List1!$B$2:$B$11</c:f>
              <c:numCache>
                <c:formatCode>0.00%</c:formatCode>
                <c:ptCount val="10"/>
                <c:pt idx="0">
                  <c:v>0.31709999999999999</c:v>
                </c:pt>
                <c:pt idx="1">
                  <c:v>0.28349999999999997</c:v>
                </c:pt>
                <c:pt idx="2">
                  <c:v>9.4999999999999998E-3</c:v>
                </c:pt>
                <c:pt idx="3">
                  <c:v>2.6499999999999999E-2</c:v>
                </c:pt>
                <c:pt idx="4">
                  <c:v>1.72E-2</c:v>
                </c:pt>
                <c:pt idx="5">
                  <c:v>3.9E-2</c:v>
                </c:pt>
                <c:pt idx="6">
                  <c:v>5.67E-2</c:v>
                </c:pt>
                <c:pt idx="7">
                  <c:v>1.8E-3</c:v>
                </c:pt>
                <c:pt idx="8">
                  <c:v>6.5600000000000006E-2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6F-43D1-9043-99A2D9058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37406216505899"/>
          <c:y val="5.0239020122484691E-2"/>
          <c:w val="0.33976420150053588"/>
          <c:h val="0.9221998250218722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69D1C-F8D9-46EE-BA2E-CA1F3D6E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20</Pages>
  <Words>3139</Words>
  <Characters>17895</Characters>
  <Application>Microsoft Office Word</Application>
  <DocSecurity>0</DocSecurity>
  <Lines>149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20993</CharactersWithSpaces>
  <SharedDoc>false</SharedDoc>
  <HLinks>
    <vt:vector size="18" baseType="variant">
      <vt:variant>
        <vt:i4>65659</vt:i4>
      </vt:variant>
      <vt:variant>
        <vt:i4>30</vt:i4>
      </vt:variant>
      <vt:variant>
        <vt:i4>0</vt:i4>
      </vt:variant>
      <vt:variant>
        <vt:i4>5</vt:i4>
      </vt:variant>
      <vt:variant>
        <vt:lpwstr>mailto:opcina-tompojevci@vk.t-com.hr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cp:lastModifiedBy>Općina Tompojevci</cp:lastModifiedBy>
  <cp:revision>72</cp:revision>
  <cp:lastPrinted>2022-10-27T06:16:00Z</cp:lastPrinted>
  <dcterms:created xsi:type="dcterms:W3CDTF">2019-12-17T10:31:00Z</dcterms:created>
  <dcterms:modified xsi:type="dcterms:W3CDTF">2023-12-22T09:16:00Z</dcterms:modified>
</cp:coreProperties>
</file>