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1EF9" w14:textId="77777777" w:rsidR="005F6058" w:rsidRPr="00F35A82" w:rsidRDefault="005F6058" w:rsidP="003467F8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2"/>
        <w:gridCol w:w="4258"/>
      </w:tblGrid>
      <w:tr w:rsidR="003467F8" w:rsidRPr="00F35A82" w14:paraId="09E66915" w14:textId="77777777" w:rsidTr="008B23FB">
        <w:trPr>
          <w:trHeight w:val="465"/>
        </w:trPr>
        <w:tc>
          <w:tcPr>
            <w:tcW w:w="5529" w:type="dxa"/>
            <w:vMerge w:val="restart"/>
            <w:hideMark/>
          </w:tcPr>
          <w:p w14:paraId="0FE43117" w14:textId="77777777" w:rsidR="003467F8" w:rsidRPr="00F35A82" w:rsidRDefault="003467F8">
            <w:pPr>
              <w:jc w:val="center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EF4F972" wp14:editId="17127BA2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BFB73" w14:textId="77777777" w:rsidR="003467F8" w:rsidRPr="00F35A82" w:rsidRDefault="003467F8">
            <w:pPr>
              <w:jc w:val="center"/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562" w:type="dxa"/>
          </w:tcPr>
          <w:p w14:paraId="582A382D" w14:textId="77777777" w:rsidR="003467F8" w:rsidRPr="00F35A82" w:rsidRDefault="003467F8"/>
        </w:tc>
        <w:tc>
          <w:tcPr>
            <w:tcW w:w="4258" w:type="dxa"/>
          </w:tcPr>
          <w:p w14:paraId="66BA0889" w14:textId="77777777" w:rsidR="003467F8" w:rsidRPr="00F35A82" w:rsidRDefault="003467F8"/>
        </w:tc>
      </w:tr>
      <w:tr w:rsidR="003467F8" w:rsidRPr="00F35A82" w14:paraId="3EA8B1A6" w14:textId="77777777" w:rsidTr="008B23FB">
        <w:trPr>
          <w:trHeight w:val="140"/>
        </w:trPr>
        <w:tc>
          <w:tcPr>
            <w:tcW w:w="5529" w:type="dxa"/>
            <w:vMerge/>
            <w:vAlign w:val="center"/>
            <w:hideMark/>
          </w:tcPr>
          <w:p w14:paraId="675A0106" w14:textId="77777777" w:rsidR="003467F8" w:rsidRPr="00F35A82" w:rsidRDefault="003467F8">
            <w:pPr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2E63E71" w14:textId="77777777" w:rsidR="003467F8" w:rsidRPr="00F35A82" w:rsidRDefault="003467F8">
            <w:pPr>
              <w:rPr>
                <w:b/>
              </w:rPr>
            </w:pPr>
          </w:p>
        </w:tc>
        <w:tc>
          <w:tcPr>
            <w:tcW w:w="4258" w:type="dxa"/>
          </w:tcPr>
          <w:p w14:paraId="116A8623" w14:textId="02E3CB09" w:rsidR="003467F8" w:rsidRPr="00F35A82" w:rsidRDefault="003467F8">
            <w:pPr>
              <w:rPr>
                <w:rFonts w:ascii="Times New Roman" w:hAnsi="Times New Roman"/>
                <w:i/>
                <w:color w:val="0563C1" w:themeColor="hyperlink"/>
                <w:u w:val="single"/>
              </w:rPr>
            </w:pPr>
          </w:p>
        </w:tc>
      </w:tr>
      <w:tr w:rsidR="003467F8" w:rsidRPr="00F35A82" w14:paraId="5F76D2AD" w14:textId="77777777" w:rsidTr="008B23FB">
        <w:tc>
          <w:tcPr>
            <w:tcW w:w="5529" w:type="dxa"/>
            <w:hideMark/>
          </w:tcPr>
          <w:p w14:paraId="68B40B56" w14:textId="5E2B2210" w:rsidR="003467F8" w:rsidRPr="00F35A82" w:rsidRDefault="00551143">
            <w:pPr>
              <w:jc w:val="center"/>
              <w:rPr>
                <w:rFonts w:ascii="Times New Roman" w:hAnsi="Times New Roman"/>
                <w:b/>
              </w:rPr>
            </w:pPr>
            <w:r w:rsidRPr="00F35A82">
              <w:rPr>
                <w:rFonts w:ascii="Times New Roman" w:hAnsi="Times New Roman"/>
                <w:b/>
              </w:rPr>
              <w:t>VUKOVARSKO-SRIJEMSKA</w:t>
            </w:r>
            <w:r w:rsidR="003467F8" w:rsidRPr="00F35A82">
              <w:rPr>
                <w:rFonts w:ascii="Times New Roman" w:hAnsi="Times New Roman"/>
                <w:b/>
              </w:rPr>
              <w:t xml:space="preserve"> ŽUPANIJA</w:t>
            </w:r>
          </w:p>
        </w:tc>
        <w:tc>
          <w:tcPr>
            <w:tcW w:w="562" w:type="dxa"/>
          </w:tcPr>
          <w:p w14:paraId="5E23E0DF" w14:textId="77777777" w:rsidR="003467F8" w:rsidRPr="00F35A82" w:rsidRDefault="003467F8">
            <w:pPr>
              <w:rPr>
                <w:b/>
              </w:rPr>
            </w:pPr>
          </w:p>
        </w:tc>
        <w:tc>
          <w:tcPr>
            <w:tcW w:w="4258" w:type="dxa"/>
          </w:tcPr>
          <w:p w14:paraId="2176A3CE" w14:textId="77F0CB84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3D955859" w14:textId="77777777" w:rsidTr="008B23FB">
        <w:tc>
          <w:tcPr>
            <w:tcW w:w="5529" w:type="dxa"/>
            <w:hideMark/>
          </w:tcPr>
          <w:p w14:paraId="6C7D2391" w14:textId="651E6DC8" w:rsidR="003467F8" w:rsidRPr="00F35A82" w:rsidRDefault="003467F8">
            <w:pPr>
              <w:jc w:val="center"/>
              <w:rPr>
                <w:rFonts w:ascii="Times New Roman" w:hAnsi="Times New Roman"/>
                <w:b/>
              </w:rPr>
            </w:pPr>
            <w:r w:rsidRPr="00F35A82">
              <w:rPr>
                <w:rFonts w:ascii="Times New Roman" w:hAnsi="Times New Roman"/>
                <w:b/>
              </w:rPr>
              <w:t xml:space="preserve">OPĆINA </w:t>
            </w:r>
            <w:r w:rsidR="00E32E38" w:rsidRPr="00F35A82">
              <w:rPr>
                <w:rFonts w:ascii="Times New Roman" w:hAnsi="Times New Roman"/>
                <w:b/>
              </w:rPr>
              <w:t>TOMPOJEVCI</w:t>
            </w:r>
          </w:p>
          <w:p w14:paraId="17CA6106" w14:textId="77777777" w:rsidR="003467F8" w:rsidRPr="00F35A82" w:rsidRDefault="00DE471A">
            <w:pPr>
              <w:jc w:val="center"/>
              <w:rPr>
                <w:rFonts w:ascii="Times New Roman" w:hAnsi="Times New Roman"/>
                <w:b/>
              </w:rPr>
            </w:pPr>
            <w:r w:rsidRPr="00F35A82">
              <w:rPr>
                <w:rFonts w:ascii="Times New Roman" w:hAnsi="Times New Roman"/>
                <w:b/>
              </w:rPr>
              <w:t>Povjerenstvo za zakup</w:t>
            </w:r>
          </w:p>
          <w:p w14:paraId="49F8D3A8" w14:textId="77777777" w:rsidR="00DE471A" w:rsidRPr="00F35A82" w:rsidRDefault="00DE471A">
            <w:pPr>
              <w:jc w:val="center"/>
              <w:rPr>
                <w:rFonts w:ascii="Times New Roman" w:hAnsi="Times New Roman"/>
                <w:b/>
              </w:rPr>
            </w:pPr>
            <w:r w:rsidRPr="00F35A82">
              <w:rPr>
                <w:rFonts w:ascii="Times New Roman" w:hAnsi="Times New Roman"/>
                <w:b/>
              </w:rPr>
              <w:t>poljoprivrednog zemljišta u vlasništvu</w:t>
            </w:r>
          </w:p>
          <w:p w14:paraId="69DCC1E0" w14:textId="2F5C0743" w:rsidR="00DE471A" w:rsidRPr="00F35A82" w:rsidRDefault="00DE471A">
            <w:pPr>
              <w:jc w:val="center"/>
              <w:rPr>
                <w:rFonts w:ascii="Times New Roman" w:hAnsi="Times New Roman"/>
                <w:b/>
              </w:rPr>
            </w:pPr>
            <w:r w:rsidRPr="00F35A82">
              <w:rPr>
                <w:rFonts w:ascii="Times New Roman" w:hAnsi="Times New Roman"/>
                <w:b/>
              </w:rPr>
              <w:t xml:space="preserve">Republike Hrvatske na području Općine </w:t>
            </w:r>
            <w:r w:rsidR="00E32E38" w:rsidRPr="00F35A82">
              <w:rPr>
                <w:rFonts w:ascii="Times New Roman" w:hAnsi="Times New Roman"/>
                <w:b/>
              </w:rPr>
              <w:t>Tompojevci</w:t>
            </w:r>
          </w:p>
        </w:tc>
        <w:tc>
          <w:tcPr>
            <w:tcW w:w="562" w:type="dxa"/>
          </w:tcPr>
          <w:p w14:paraId="55069327" w14:textId="77777777" w:rsidR="003467F8" w:rsidRPr="00F35A82" w:rsidRDefault="003467F8">
            <w:pPr>
              <w:rPr>
                <w:b/>
              </w:rPr>
            </w:pPr>
          </w:p>
        </w:tc>
        <w:tc>
          <w:tcPr>
            <w:tcW w:w="4258" w:type="dxa"/>
          </w:tcPr>
          <w:p w14:paraId="54939A5A" w14:textId="6BBC9072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101956A8" w14:textId="77777777" w:rsidTr="008B23FB">
        <w:tc>
          <w:tcPr>
            <w:tcW w:w="5529" w:type="dxa"/>
          </w:tcPr>
          <w:p w14:paraId="256B1D29" w14:textId="77777777" w:rsidR="003467F8" w:rsidRPr="00F35A82" w:rsidRDefault="003467F8">
            <w:pPr>
              <w:jc w:val="center"/>
              <w:rPr>
                <w:i/>
              </w:rPr>
            </w:pPr>
          </w:p>
        </w:tc>
        <w:tc>
          <w:tcPr>
            <w:tcW w:w="562" w:type="dxa"/>
          </w:tcPr>
          <w:p w14:paraId="194A64AB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4258" w:type="dxa"/>
            <w:hideMark/>
          </w:tcPr>
          <w:p w14:paraId="5604C57E" w14:textId="77777777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051FC153" w14:textId="77777777" w:rsidTr="008B23FB">
        <w:tc>
          <w:tcPr>
            <w:tcW w:w="5529" w:type="dxa"/>
            <w:hideMark/>
          </w:tcPr>
          <w:p w14:paraId="371E2361" w14:textId="5380C8F8" w:rsidR="003467F8" w:rsidRPr="00F35A82" w:rsidRDefault="00EC7837">
            <w:pPr>
              <w:rPr>
                <w:rFonts w:ascii="Times New Roman" w:hAnsi="Times New Roman"/>
              </w:rPr>
            </w:pPr>
            <w:r w:rsidRPr="005F6058">
              <w:rPr>
                <w:rFonts w:ascii="Times New Roman" w:hAnsi="Times New Roman"/>
              </w:rPr>
              <w:t>KLASA:320-02/20-01/7</w:t>
            </w:r>
          </w:p>
        </w:tc>
        <w:tc>
          <w:tcPr>
            <w:tcW w:w="562" w:type="dxa"/>
          </w:tcPr>
          <w:p w14:paraId="1A400A7F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4258" w:type="dxa"/>
            <w:hideMark/>
          </w:tcPr>
          <w:p w14:paraId="25DF5DD7" w14:textId="77777777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4CCDB412" w14:textId="77777777" w:rsidTr="008B23FB">
        <w:tc>
          <w:tcPr>
            <w:tcW w:w="5529" w:type="dxa"/>
            <w:hideMark/>
          </w:tcPr>
          <w:p w14:paraId="2E4833D1" w14:textId="082543C0" w:rsidR="003467F8" w:rsidRPr="00F35A82" w:rsidRDefault="003467F8">
            <w:pPr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 xml:space="preserve">URBROJ: </w:t>
            </w:r>
            <w:r w:rsidR="00EC7837" w:rsidRPr="005F6058">
              <w:rPr>
                <w:rFonts w:ascii="Times New Roman" w:hAnsi="Times New Roman"/>
              </w:rPr>
              <w:t>2196/07-02-20-1</w:t>
            </w:r>
            <w:r w:rsidR="00EC7837">
              <w:rPr>
                <w:rFonts w:ascii="Times New Roman" w:hAnsi="Times New Roman"/>
              </w:rPr>
              <w:t>39</w:t>
            </w:r>
          </w:p>
        </w:tc>
        <w:tc>
          <w:tcPr>
            <w:tcW w:w="562" w:type="dxa"/>
          </w:tcPr>
          <w:p w14:paraId="22F8A847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4258" w:type="dxa"/>
          </w:tcPr>
          <w:p w14:paraId="385C6CFB" w14:textId="77777777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67D6A7C3" w14:textId="77777777" w:rsidTr="008B23FB">
        <w:tc>
          <w:tcPr>
            <w:tcW w:w="5529" w:type="dxa"/>
            <w:hideMark/>
          </w:tcPr>
          <w:p w14:paraId="0A81FD0B" w14:textId="517F9D47" w:rsidR="003467F8" w:rsidRPr="00F35A82" w:rsidRDefault="00E32E38">
            <w:pPr>
              <w:rPr>
                <w:rFonts w:ascii="Times New Roman" w:hAnsi="Times New Roman"/>
              </w:rPr>
            </w:pPr>
            <w:r w:rsidRPr="00F35A82">
              <w:rPr>
                <w:rFonts w:ascii="Times New Roman" w:hAnsi="Times New Roman"/>
              </w:rPr>
              <w:t>Tompojevci</w:t>
            </w:r>
            <w:r w:rsidR="003467F8" w:rsidRPr="00F35A82">
              <w:rPr>
                <w:rFonts w:ascii="Times New Roman" w:hAnsi="Times New Roman"/>
              </w:rPr>
              <w:t xml:space="preserve">, </w:t>
            </w:r>
            <w:r w:rsidR="005F6058">
              <w:rPr>
                <w:rFonts w:ascii="Times New Roman" w:hAnsi="Times New Roman"/>
              </w:rPr>
              <w:t>20</w:t>
            </w:r>
            <w:r w:rsidR="00D05BAB" w:rsidRPr="00F35A82">
              <w:rPr>
                <w:rFonts w:ascii="Times New Roman" w:hAnsi="Times New Roman"/>
              </w:rPr>
              <w:t xml:space="preserve">. </w:t>
            </w:r>
            <w:r w:rsidR="005F6058">
              <w:rPr>
                <w:rFonts w:ascii="Times New Roman" w:hAnsi="Times New Roman"/>
              </w:rPr>
              <w:t>listopad</w:t>
            </w:r>
            <w:r w:rsidR="003467F8" w:rsidRPr="00F35A82">
              <w:rPr>
                <w:rFonts w:ascii="Times New Roman" w:hAnsi="Times New Roman"/>
              </w:rPr>
              <w:t xml:space="preserve"> 20</w:t>
            </w:r>
            <w:r w:rsidRPr="00F35A82">
              <w:rPr>
                <w:rFonts w:ascii="Times New Roman" w:hAnsi="Times New Roman"/>
              </w:rPr>
              <w:t>20</w:t>
            </w:r>
            <w:r w:rsidR="003467F8" w:rsidRPr="00F35A82">
              <w:rPr>
                <w:rFonts w:ascii="Times New Roman" w:hAnsi="Times New Roman"/>
              </w:rPr>
              <w:t>.</w:t>
            </w:r>
            <w:r w:rsidRPr="00F35A82">
              <w:rPr>
                <w:rFonts w:ascii="Times New Roman" w:hAnsi="Times New Roman"/>
              </w:rPr>
              <w:t xml:space="preserve"> godine</w:t>
            </w:r>
          </w:p>
        </w:tc>
        <w:tc>
          <w:tcPr>
            <w:tcW w:w="562" w:type="dxa"/>
          </w:tcPr>
          <w:p w14:paraId="37D5550E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4258" w:type="dxa"/>
          </w:tcPr>
          <w:p w14:paraId="0E2CCD8F" w14:textId="77777777" w:rsidR="003467F8" w:rsidRPr="00F35A82" w:rsidRDefault="003467F8">
            <w:pPr>
              <w:rPr>
                <w:rFonts w:ascii="Times New Roman" w:hAnsi="Times New Roman"/>
                <w:i/>
              </w:rPr>
            </w:pPr>
          </w:p>
        </w:tc>
      </w:tr>
      <w:tr w:rsidR="003467F8" w:rsidRPr="00F35A82" w14:paraId="21CAA2FE" w14:textId="77777777" w:rsidTr="008B23FB">
        <w:trPr>
          <w:trHeight w:val="80"/>
        </w:trPr>
        <w:tc>
          <w:tcPr>
            <w:tcW w:w="5529" w:type="dxa"/>
          </w:tcPr>
          <w:p w14:paraId="12A17D44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562" w:type="dxa"/>
          </w:tcPr>
          <w:p w14:paraId="584F4862" w14:textId="77777777" w:rsidR="003467F8" w:rsidRPr="00F35A82" w:rsidRDefault="003467F8">
            <w:pPr>
              <w:rPr>
                <w:i/>
              </w:rPr>
            </w:pPr>
          </w:p>
        </w:tc>
        <w:tc>
          <w:tcPr>
            <w:tcW w:w="4258" w:type="dxa"/>
            <w:hideMark/>
          </w:tcPr>
          <w:p w14:paraId="7498B7A8" w14:textId="77777777" w:rsidR="003467F8" w:rsidRPr="00F35A82" w:rsidRDefault="003467F8">
            <w:pPr>
              <w:pStyle w:val="Bezproreda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B06DBA2" w14:textId="3C4367FF" w:rsidR="005F6058" w:rsidRPr="005F6058" w:rsidRDefault="004E5EB3" w:rsidP="005F6058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SUDIONICIMA JAVNOG NATJEČAJA</w:t>
      </w:r>
    </w:p>
    <w:p w14:paraId="48220DA1" w14:textId="7B143807" w:rsidR="005F6058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1B64FD7" w14:textId="5A21C924" w:rsidR="00EC7837" w:rsidRDefault="00EC7837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D2E4258" w14:textId="77777777" w:rsidR="00EC7837" w:rsidRDefault="00EC7837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BCAAA7C" w14:textId="77777777" w:rsidR="004E5EB3" w:rsidRDefault="005F6058" w:rsidP="00EC783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F6058">
        <w:rPr>
          <w:rFonts w:ascii="Times New Roman" w:hAnsi="Times New Roman" w:cs="Times New Roman"/>
        </w:rPr>
        <w:t xml:space="preserve">Temeljem objavljenog Javnog natječaja za zakup poljoprivrednog zemljišta u vlasništvu Republike Hrvatske na području Općine Tompojevci od 03.08.2020., KLASA:320-02/20-01/7, URBROJ:2196/07-02-20-1, Povjerenstvo je provelo administrativnu provjeru i analizu pristiglih ponuda te rangiralo ponude po pojedinoj proizvodno-tehnološkoj cjelini sukladno pravu prvenstva prema članku 36. Zakona o poljoprivrednom zemljištu. </w:t>
      </w:r>
    </w:p>
    <w:p w14:paraId="6F160262" w14:textId="1E9E1286" w:rsidR="005F6058" w:rsidRDefault="005F6058" w:rsidP="00EC783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F6058">
        <w:rPr>
          <w:rFonts w:ascii="Times New Roman" w:hAnsi="Times New Roman" w:cs="Times New Roman"/>
        </w:rPr>
        <w:t>Sljedeći korak je pozivanje ponuditelja na očitovanje o prihvaćanju zakupa po pojedinoj proizvodno-tehnološkoj cjelini</w:t>
      </w:r>
      <w:r>
        <w:rPr>
          <w:rFonts w:ascii="Times New Roman" w:hAnsi="Times New Roman" w:cs="Times New Roman"/>
        </w:rPr>
        <w:t xml:space="preserve"> te Povjerenstvo upućuje </w:t>
      </w:r>
      <w:r w:rsidR="00F467E5">
        <w:rPr>
          <w:rFonts w:ascii="Times New Roman" w:hAnsi="Times New Roman" w:cs="Times New Roman"/>
        </w:rPr>
        <w:t>ponuditeljima</w:t>
      </w:r>
    </w:p>
    <w:p w14:paraId="7A5CEB0C" w14:textId="4B6C520C" w:rsidR="005F6058" w:rsidRDefault="005F6058" w:rsidP="005F6058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15947333" w14:textId="77777777" w:rsidR="00EC7837" w:rsidRPr="005F6058" w:rsidRDefault="00EC7837" w:rsidP="005F6058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124B097" w14:textId="5D71BABE" w:rsidR="005F6058" w:rsidRPr="005F6058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058">
        <w:rPr>
          <w:rFonts w:ascii="Times New Roman" w:hAnsi="Times New Roman" w:cs="Times New Roman"/>
          <w:b/>
          <w:bCs/>
        </w:rPr>
        <w:t>POZIV</w:t>
      </w:r>
    </w:p>
    <w:p w14:paraId="19A6C2BC" w14:textId="31396BA2" w:rsidR="005F6058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A0ADA35" w14:textId="77777777" w:rsidR="00F467E5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54037708"/>
      <w:r w:rsidRPr="005F6058">
        <w:rPr>
          <w:rFonts w:ascii="Times New Roman" w:hAnsi="Times New Roman" w:cs="Times New Roman"/>
          <w:b/>
          <w:bCs/>
        </w:rPr>
        <w:t xml:space="preserve">na </w:t>
      </w:r>
      <w:r>
        <w:rPr>
          <w:rFonts w:ascii="Times New Roman" w:hAnsi="Times New Roman" w:cs="Times New Roman"/>
          <w:b/>
          <w:bCs/>
        </w:rPr>
        <w:t>sjednicu</w:t>
      </w:r>
      <w:r w:rsidRPr="005F6058">
        <w:rPr>
          <w:rFonts w:ascii="Times New Roman" w:hAnsi="Times New Roman" w:cs="Times New Roman"/>
          <w:b/>
          <w:bCs/>
        </w:rPr>
        <w:t xml:space="preserve"> Povjerenstva za zakup i prodaju poljoprivrednog zemljišta u</w:t>
      </w:r>
    </w:p>
    <w:p w14:paraId="638B80B5" w14:textId="689728F3" w:rsidR="005F6058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058">
        <w:rPr>
          <w:rFonts w:ascii="Times New Roman" w:hAnsi="Times New Roman" w:cs="Times New Roman"/>
          <w:b/>
          <w:bCs/>
        </w:rPr>
        <w:t>vlasništvu Republike Hrvatske na području Općine Tompojevci</w:t>
      </w:r>
    </w:p>
    <w:bookmarkEnd w:id="0"/>
    <w:p w14:paraId="3797696C" w14:textId="2840CE12" w:rsidR="005F6058" w:rsidRPr="005F6058" w:rsidRDefault="005F6058" w:rsidP="005F6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058">
        <w:rPr>
          <w:rFonts w:ascii="Times New Roman" w:hAnsi="Times New Roman" w:cs="Times New Roman"/>
          <w:b/>
          <w:bCs/>
        </w:rPr>
        <w:t>koj</w:t>
      </w:r>
      <w:r>
        <w:rPr>
          <w:rFonts w:ascii="Times New Roman" w:hAnsi="Times New Roman" w:cs="Times New Roman"/>
          <w:b/>
          <w:bCs/>
        </w:rPr>
        <w:t>a</w:t>
      </w:r>
      <w:r w:rsidRPr="005F6058">
        <w:rPr>
          <w:rFonts w:ascii="Times New Roman" w:hAnsi="Times New Roman" w:cs="Times New Roman"/>
          <w:b/>
          <w:bCs/>
        </w:rPr>
        <w:t xml:space="preserve"> će se održati</w:t>
      </w:r>
    </w:p>
    <w:p w14:paraId="302A7D6C" w14:textId="4F316C4B" w:rsidR="005F6058" w:rsidRPr="007B7C74" w:rsidRDefault="005F6058" w:rsidP="00F35A8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058">
        <w:rPr>
          <w:rFonts w:ascii="Times New Roman" w:hAnsi="Times New Roman" w:cs="Times New Roman"/>
          <w:b/>
          <w:bCs/>
        </w:rPr>
        <w:t>u s</w:t>
      </w:r>
      <w:r>
        <w:rPr>
          <w:rFonts w:ascii="Times New Roman" w:hAnsi="Times New Roman" w:cs="Times New Roman"/>
          <w:b/>
          <w:bCs/>
        </w:rPr>
        <w:t>ubotu</w:t>
      </w:r>
      <w:r w:rsidRPr="005F60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24</w:t>
      </w:r>
      <w:r w:rsidRPr="005F6058">
        <w:rPr>
          <w:rFonts w:ascii="Times New Roman" w:hAnsi="Times New Roman" w:cs="Times New Roman"/>
          <w:b/>
          <w:bCs/>
        </w:rPr>
        <w:t>. listopada 20</w:t>
      </w:r>
      <w:r>
        <w:rPr>
          <w:rFonts w:ascii="Times New Roman" w:hAnsi="Times New Roman" w:cs="Times New Roman"/>
          <w:b/>
          <w:bCs/>
        </w:rPr>
        <w:t>20</w:t>
      </w:r>
      <w:r w:rsidRPr="005F6058">
        <w:rPr>
          <w:rFonts w:ascii="Times New Roman" w:hAnsi="Times New Roman" w:cs="Times New Roman"/>
          <w:b/>
          <w:bCs/>
        </w:rPr>
        <w:t xml:space="preserve">. </w:t>
      </w:r>
      <w:r w:rsidRPr="007B7C74">
        <w:rPr>
          <w:rFonts w:ascii="Times New Roman" w:hAnsi="Times New Roman" w:cs="Times New Roman"/>
          <w:b/>
          <w:bCs/>
        </w:rPr>
        <w:t>godine u 8:30 sati u Hrvatskom domu u Tompojevcima</w:t>
      </w:r>
    </w:p>
    <w:p w14:paraId="536DE078" w14:textId="2AF3CB84" w:rsidR="009D19EB" w:rsidRPr="007B7C74" w:rsidRDefault="007B7C74" w:rsidP="009D19E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B7C74">
        <w:rPr>
          <w:rFonts w:ascii="Times New Roman" w:hAnsi="Times New Roman" w:cs="Times New Roman"/>
          <w:b/>
          <w:bCs/>
        </w:rPr>
        <w:t>Radićeva 23, Tompojevci</w:t>
      </w:r>
    </w:p>
    <w:p w14:paraId="56DA391B" w14:textId="18A4C238" w:rsidR="00F467E5" w:rsidRDefault="00F467E5" w:rsidP="00F35A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3BB8AEE" w14:textId="4CCD82DC" w:rsidR="00EC7837" w:rsidRDefault="00EC7837" w:rsidP="00F35A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32206D2" w14:textId="77777777" w:rsidR="00EC7837" w:rsidRDefault="00EC7837" w:rsidP="00F35A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422C5CA" w14:textId="211AAAA1" w:rsidR="00E963B0" w:rsidRDefault="00E963B0" w:rsidP="00F35A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Ponuditelji će imati mogućnost uvida u rangiranje ponuditelja prema pravu prvenstva po proizvodno tehnološkim cjelinama te će sukladno </w:t>
      </w:r>
      <w:r w:rsidR="008B23FB">
        <w:rPr>
          <w:rFonts w:ascii="Times New Roman" w:hAnsi="Times New Roman" w:cs="Times New Roman"/>
        </w:rPr>
        <w:t>utvrđenom prvenstvu</w:t>
      </w:r>
      <w:r>
        <w:rPr>
          <w:rFonts w:ascii="Times New Roman" w:hAnsi="Times New Roman" w:cs="Times New Roman"/>
        </w:rPr>
        <w:t xml:space="preserve"> biti pozvani da se očituju o prihvaćanju zakupa.</w:t>
      </w:r>
    </w:p>
    <w:p w14:paraId="5CD1FD73" w14:textId="74D6F30B" w:rsidR="0095751B" w:rsidRPr="00F35A82" w:rsidRDefault="00F467E5" w:rsidP="00F35A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F467E5">
        <w:rPr>
          <w:rFonts w:ascii="Times New Roman" w:hAnsi="Times New Roman" w:cs="Times New Roman"/>
        </w:rPr>
        <w:t>Zbog epidemio</w:t>
      </w:r>
      <w:r>
        <w:rPr>
          <w:rFonts w:ascii="Times New Roman" w:hAnsi="Times New Roman" w:cs="Times New Roman"/>
        </w:rPr>
        <w:t>lo</w:t>
      </w:r>
      <w:r w:rsidRPr="00F467E5">
        <w:rPr>
          <w:rFonts w:ascii="Times New Roman" w:hAnsi="Times New Roman" w:cs="Times New Roman"/>
        </w:rPr>
        <w:t>ške situacije uzrokovane koronavirusom</w:t>
      </w:r>
      <w:r>
        <w:rPr>
          <w:rFonts w:ascii="Times New Roman" w:hAnsi="Times New Roman" w:cs="Times New Roman"/>
        </w:rPr>
        <w:t>,</w:t>
      </w:r>
      <w:r w:rsidRPr="00F46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E5EB3">
        <w:rPr>
          <w:rFonts w:ascii="Times New Roman" w:hAnsi="Times New Roman" w:cs="Times New Roman"/>
        </w:rPr>
        <w:t>jednici može prisustvovati samo ponuditelj ili njegov opunomoćeni predstavnik</w:t>
      </w:r>
      <w:r w:rsidR="008B23FB">
        <w:rPr>
          <w:rFonts w:ascii="Times New Roman" w:hAnsi="Times New Roman" w:cs="Times New Roman"/>
        </w:rPr>
        <w:t xml:space="preserve"> uz predočenje osobne iskaznice</w:t>
      </w:r>
      <w:r w:rsidR="00E963B0">
        <w:rPr>
          <w:rFonts w:ascii="Times New Roman" w:hAnsi="Times New Roman" w:cs="Times New Roman"/>
        </w:rPr>
        <w:t>.</w:t>
      </w:r>
      <w:r w:rsidR="008B23FB">
        <w:rPr>
          <w:rFonts w:ascii="Times New Roman" w:hAnsi="Times New Roman" w:cs="Times New Roman"/>
        </w:rPr>
        <w:t xml:space="preserve"> </w:t>
      </w:r>
      <w:r w:rsidR="00E963B0">
        <w:rPr>
          <w:rFonts w:ascii="Times New Roman" w:hAnsi="Times New Roman" w:cs="Times New Roman"/>
        </w:rPr>
        <w:t>Ukoliko će sjednici sudjelovati opunomoćeni predstavnik</w:t>
      </w:r>
      <w:r w:rsidR="008B23FB">
        <w:rPr>
          <w:rFonts w:ascii="Times New Roman" w:hAnsi="Times New Roman" w:cs="Times New Roman"/>
        </w:rPr>
        <w:t>,</w:t>
      </w:r>
      <w:r w:rsidR="00E963B0">
        <w:rPr>
          <w:rFonts w:ascii="Times New Roman" w:hAnsi="Times New Roman" w:cs="Times New Roman"/>
        </w:rPr>
        <w:t xml:space="preserve"> </w:t>
      </w:r>
      <w:r w:rsidR="004E5EB3">
        <w:rPr>
          <w:rFonts w:ascii="Times New Roman" w:hAnsi="Times New Roman" w:cs="Times New Roman"/>
        </w:rPr>
        <w:t>obavez</w:t>
      </w:r>
      <w:r w:rsidR="00E963B0">
        <w:rPr>
          <w:rFonts w:ascii="Times New Roman" w:hAnsi="Times New Roman" w:cs="Times New Roman"/>
        </w:rPr>
        <w:t xml:space="preserve">an </w:t>
      </w:r>
      <w:r w:rsidR="008B23FB">
        <w:rPr>
          <w:rFonts w:ascii="Times New Roman" w:hAnsi="Times New Roman" w:cs="Times New Roman"/>
        </w:rPr>
        <w:t>je posjedovati p</w:t>
      </w:r>
      <w:r w:rsidR="00E963B0">
        <w:rPr>
          <w:rFonts w:ascii="Times New Roman" w:hAnsi="Times New Roman" w:cs="Times New Roman"/>
        </w:rPr>
        <w:t>otpisanu punomoć</w:t>
      </w:r>
      <w:r w:rsidR="0092401B">
        <w:rPr>
          <w:rFonts w:ascii="Times New Roman" w:hAnsi="Times New Roman" w:cs="Times New Roman"/>
        </w:rPr>
        <w:t xml:space="preserve"> (obrazac punomoći nalazi se na web stranici Općine Tompojevci).</w:t>
      </w:r>
    </w:p>
    <w:sectPr w:rsidR="0095751B" w:rsidRPr="00F3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10E94"/>
    <w:rsid w:val="00026893"/>
    <w:rsid w:val="00045FCB"/>
    <w:rsid w:val="00052BE3"/>
    <w:rsid w:val="0006111F"/>
    <w:rsid w:val="00062D33"/>
    <w:rsid w:val="0007464E"/>
    <w:rsid w:val="00084EFA"/>
    <w:rsid w:val="0008606F"/>
    <w:rsid w:val="000B2A69"/>
    <w:rsid w:val="000C3B1B"/>
    <w:rsid w:val="000C4130"/>
    <w:rsid w:val="000D0807"/>
    <w:rsid w:val="000D4AFD"/>
    <w:rsid w:val="000D7E48"/>
    <w:rsid w:val="000E1152"/>
    <w:rsid w:val="000E3C18"/>
    <w:rsid w:val="000E630D"/>
    <w:rsid w:val="000E73CC"/>
    <w:rsid w:val="000F0DB8"/>
    <w:rsid w:val="0010006C"/>
    <w:rsid w:val="00116239"/>
    <w:rsid w:val="00127D68"/>
    <w:rsid w:val="00140089"/>
    <w:rsid w:val="00146982"/>
    <w:rsid w:val="001514ED"/>
    <w:rsid w:val="0017699D"/>
    <w:rsid w:val="0018458A"/>
    <w:rsid w:val="00193AE6"/>
    <w:rsid w:val="001A6A83"/>
    <w:rsid w:val="001B1A6D"/>
    <w:rsid w:val="001C562A"/>
    <w:rsid w:val="001E1CF9"/>
    <w:rsid w:val="001E7A0B"/>
    <w:rsid w:val="001F08C3"/>
    <w:rsid w:val="002021CC"/>
    <w:rsid w:val="00203743"/>
    <w:rsid w:val="002037F3"/>
    <w:rsid w:val="00214894"/>
    <w:rsid w:val="00224EA3"/>
    <w:rsid w:val="00225A87"/>
    <w:rsid w:val="00226EEE"/>
    <w:rsid w:val="0022716C"/>
    <w:rsid w:val="00236D3D"/>
    <w:rsid w:val="002406DB"/>
    <w:rsid w:val="00241171"/>
    <w:rsid w:val="00242D43"/>
    <w:rsid w:val="00243E86"/>
    <w:rsid w:val="002450AE"/>
    <w:rsid w:val="00260C68"/>
    <w:rsid w:val="00285D1F"/>
    <w:rsid w:val="0028620E"/>
    <w:rsid w:val="00287249"/>
    <w:rsid w:val="002D0DCB"/>
    <w:rsid w:val="002E1261"/>
    <w:rsid w:val="002F7040"/>
    <w:rsid w:val="00314457"/>
    <w:rsid w:val="00331A46"/>
    <w:rsid w:val="003467F8"/>
    <w:rsid w:val="0037120C"/>
    <w:rsid w:val="003B3EBA"/>
    <w:rsid w:val="003C1624"/>
    <w:rsid w:val="003C3BA8"/>
    <w:rsid w:val="003C7A6E"/>
    <w:rsid w:val="00402139"/>
    <w:rsid w:val="00413D5E"/>
    <w:rsid w:val="004149F7"/>
    <w:rsid w:val="004511BE"/>
    <w:rsid w:val="0047231F"/>
    <w:rsid w:val="004A278D"/>
    <w:rsid w:val="004B2A94"/>
    <w:rsid w:val="004B2D59"/>
    <w:rsid w:val="004D2BF7"/>
    <w:rsid w:val="004D7B40"/>
    <w:rsid w:val="004E06C3"/>
    <w:rsid w:val="004E5EB3"/>
    <w:rsid w:val="00501227"/>
    <w:rsid w:val="005463BF"/>
    <w:rsid w:val="00551143"/>
    <w:rsid w:val="0058286F"/>
    <w:rsid w:val="00591610"/>
    <w:rsid w:val="00594EBA"/>
    <w:rsid w:val="005E45BE"/>
    <w:rsid w:val="005F6058"/>
    <w:rsid w:val="006157C3"/>
    <w:rsid w:val="006233C3"/>
    <w:rsid w:val="0063648F"/>
    <w:rsid w:val="006439C0"/>
    <w:rsid w:val="00645AED"/>
    <w:rsid w:val="0068273E"/>
    <w:rsid w:val="00693F41"/>
    <w:rsid w:val="006B2766"/>
    <w:rsid w:val="006F5AA4"/>
    <w:rsid w:val="007043FD"/>
    <w:rsid w:val="0070578F"/>
    <w:rsid w:val="00706D68"/>
    <w:rsid w:val="00720008"/>
    <w:rsid w:val="00721611"/>
    <w:rsid w:val="0073201E"/>
    <w:rsid w:val="007512C5"/>
    <w:rsid w:val="0076546C"/>
    <w:rsid w:val="00791DB1"/>
    <w:rsid w:val="007932D0"/>
    <w:rsid w:val="007B5D0C"/>
    <w:rsid w:val="007B7C74"/>
    <w:rsid w:val="007C19D9"/>
    <w:rsid w:val="007F06E2"/>
    <w:rsid w:val="007F4FD6"/>
    <w:rsid w:val="00802555"/>
    <w:rsid w:val="008046B4"/>
    <w:rsid w:val="008776E5"/>
    <w:rsid w:val="008A2091"/>
    <w:rsid w:val="008B23FB"/>
    <w:rsid w:val="008C0EB0"/>
    <w:rsid w:val="008D03F4"/>
    <w:rsid w:val="008F341D"/>
    <w:rsid w:val="008F496D"/>
    <w:rsid w:val="0092401B"/>
    <w:rsid w:val="009272D1"/>
    <w:rsid w:val="0093271A"/>
    <w:rsid w:val="00946C24"/>
    <w:rsid w:val="00947C9F"/>
    <w:rsid w:val="00950ADA"/>
    <w:rsid w:val="0095751B"/>
    <w:rsid w:val="009601C6"/>
    <w:rsid w:val="00976F88"/>
    <w:rsid w:val="00981DD3"/>
    <w:rsid w:val="00983D2D"/>
    <w:rsid w:val="009966E1"/>
    <w:rsid w:val="009A1E1D"/>
    <w:rsid w:val="009C73E7"/>
    <w:rsid w:val="009D19EB"/>
    <w:rsid w:val="009D3965"/>
    <w:rsid w:val="009E3EC0"/>
    <w:rsid w:val="00A07367"/>
    <w:rsid w:val="00A102B2"/>
    <w:rsid w:val="00A16CD2"/>
    <w:rsid w:val="00A20AB1"/>
    <w:rsid w:val="00A20D5A"/>
    <w:rsid w:val="00A362DA"/>
    <w:rsid w:val="00A56165"/>
    <w:rsid w:val="00A63603"/>
    <w:rsid w:val="00A71009"/>
    <w:rsid w:val="00A82F0B"/>
    <w:rsid w:val="00A82F1C"/>
    <w:rsid w:val="00A858E0"/>
    <w:rsid w:val="00AD6704"/>
    <w:rsid w:val="00AD6EB1"/>
    <w:rsid w:val="00AF05D7"/>
    <w:rsid w:val="00B2594D"/>
    <w:rsid w:val="00B3400E"/>
    <w:rsid w:val="00B37393"/>
    <w:rsid w:val="00B50632"/>
    <w:rsid w:val="00B62F90"/>
    <w:rsid w:val="00B6413C"/>
    <w:rsid w:val="00B65A9B"/>
    <w:rsid w:val="00B838AF"/>
    <w:rsid w:val="00B854F4"/>
    <w:rsid w:val="00BA5D4D"/>
    <w:rsid w:val="00BC3676"/>
    <w:rsid w:val="00BC53AD"/>
    <w:rsid w:val="00BC71AA"/>
    <w:rsid w:val="00BD4390"/>
    <w:rsid w:val="00BF3680"/>
    <w:rsid w:val="00BF5725"/>
    <w:rsid w:val="00C11DF5"/>
    <w:rsid w:val="00C15816"/>
    <w:rsid w:val="00C16837"/>
    <w:rsid w:val="00C23532"/>
    <w:rsid w:val="00C41639"/>
    <w:rsid w:val="00C61F48"/>
    <w:rsid w:val="00C902BB"/>
    <w:rsid w:val="00C95287"/>
    <w:rsid w:val="00CA134A"/>
    <w:rsid w:val="00CA1F34"/>
    <w:rsid w:val="00CA4DDE"/>
    <w:rsid w:val="00CA544D"/>
    <w:rsid w:val="00CC2574"/>
    <w:rsid w:val="00CC4940"/>
    <w:rsid w:val="00D00035"/>
    <w:rsid w:val="00D05BAB"/>
    <w:rsid w:val="00D775FE"/>
    <w:rsid w:val="00D90F5C"/>
    <w:rsid w:val="00D94DFD"/>
    <w:rsid w:val="00DC4951"/>
    <w:rsid w:val="00DC6AFE"/>
    <w:rsid w:val="00DD13A2"/>
    <w:rsid w:val="00DD6CDE"/>
    <w:rsid w:val="00DE4179"/>
    <w:rsid w:val="00DE471A"/>
    <w:rsid w:val="00DF273D"/>
    <w:rsid w:val="00E24F73"/>
    <w:rsid w:val="00E32E38"/>
    <w:rsid w:val="00E4376A"/>
    <w:rsid w:val="00E54AFC"/>
    <w:rsid w:val="00E61E65"/>
    <w:rsid w:val="00E7004B"/>
    <w:rsid w:val="00E7082C"/>
    <w:rsid w:val="00E82BD0"/>
    <w:rsid w:val="00E87A1B"/>
    <w:rsid w:val="00E963B0"/>
    <w:rsid w:val="00EB0335"/>
    <w:rsid w:val="00EB69B5"/>
    <w:rsid w:val="00EC698C"/>
    <w:rsid w:val="00EC7837"/>
    <w:rsid w:val="00EE0C79"/>
    <w:rsid w:val="00EE172A"/>
    <w:rsid w:val="00F108AB"/>
    <w:rsid w:val="00F13A15"/>
    <w:rsid w:val="00F35825"/>
    <w:rsid w:val="00F35A82"/>
    <w:rsid w:val="00F35F80"/>
    <w:rsid w:val="00F467E5"/>
    <w:rsid w:val="00F538E4"/>
    <w:rsid w:val="00F5767E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EAA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Barić</dc:creator>
  <cp:lastModifiedBy>Općina Tompojevci</cp:lastModifiedBy>
  <cp:revision>3</cp:revision>
  <cp:lastPrinted>2020-10-20T07:29:00Z</cp:lastPrinted>
  <dcterms:created xsi:type="dcterms:W3CDTF">2020-10-19T20:26:00Z</dcterms:created>
  <dcterms:modified xsi:type="dcterms:W3CDTF">2020-10-20T07:30:00Z</dcterms:modified>
</cp:coreProperties>
</file>