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D9D4" w14:textId="77777777" w:rsidR="0004412D" w:rsidRPr="002D385B" w:rsidRDefault="0004412D" w:rsidP="0004412D">
      <w:pPr>
        <w:pStyle w:val="Naslov8"/>
        <w:ind w:firstLine="708"/>
        <w:rPr>
          <w:sz w:val="20"/>
          <w:szCs w:val="20"/>
        </w:rPr>
      </w:pPr>
      <w:r w:rsidRPr="002D385B">
        <w:rPr>
          <w:sz w:val="20"/>
          <w:szCs w:val="20"/>
        </w:rPr>
        <w:t>BILJEŠKA O PRIHODIMA I RASHODIMA, PRIMICIMA  I IZDACIM</w:t>
      </w:r>
    </w:p>
    <w:p w14:paraId="08647DD3" w14:textId="77777777" w:rsidR="0004412D" w:rsidRPr="002D385B" w:rsidRDefault="0004412D" w:rsidP="0004412D">
      <w:pPr>
        <w:jc w:val="center"/>
        <w:rPr>
          <w:b/>
          <w:bCs/>
          <w:sz w:val="20"/>
          <w:szCs w:val="20"/>
        </w:rPr>
      </w:pPr>
      <w:r w:rsidRPr="002D385B">
        <w:rPr>
          <w:b/>
          <w:bCs/>
          <w:sz w:val="20"/>
          <w:szCs w:val="20"/>
        </w:rPr>
        <w:t>( OBRAZAC:  PR- RAS )</w:t>
      </w:r>
    </w:p>
    <w:p w14:paraId="123BB909" w14:textId="77777777" w:rsidR="0004412D" w:rsidRDefault="0004412D" w:rsidP="0004412D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               Za  razdoblje siječanj –  prosinac 2019</w:t>
      </w:r>
      <w:r w:rsidRPr="002D385B">
        <w:rPr>
          <w:sz w:val="20"/>
          <w:szCs w:val="20"/>
        </w:rPr>
        <w:t xml:space="preserve">. </w:t>
      </w:r>
      <w:r>
        <w:rPr>
          <w:sz w:val="20"/>
          <w:szCs w:val="20"/>
        </w:rPr>
        <w:t>g</w:t>
      </w:r>
      <w:r w:rsidRPr="002D385B">
        <w:rPr>
          <w:sz w:val="20"/>
          <w:szCs w:val="20"/>
        </w:rPr>
        <w:t>odine</w:t>
      </w:r>
    </w:p>
    <w:p w14:paraId="18363649" w14:textId="77777777" w:rsidR="0004412D" w:rsidRPr="002D385B" w:rsidRDefault="0004412D" w:rsidP="0004412D">
      <w:pPr>
        <w:ind w:left="1416"/>
        <w:rPr>
          <w:sz w:val="20"/>
          <w:szCs w:val="20"/>
        </w:rPr>
      </w:pPr>
    </w:p>
    <w:p w14:paraId="72CD41D8" w14:textId="77777777" w:rsidR="0004412D" w:rsidRPr="002D385B" w:rsidRDefault="0004412D" w:rsidP="0004412D">
      <w:pPr>
        <w:ind w:left="1416"/>
        <w:jc w:val="both"/>
        <w:rPr>
          <w:sz w:val="20"/>
          <w:szCs w:val="20"/>
        </w:rPr>
      </w:pPr>
    </w:p>
    <w:p w14:paraId="4763E591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 w:rsidRPr="002D385B">
        <w:rPr>
          <w:sz w:val="20"/>
          <w:szCs w:val="20"/>
        </w:rPr>
        <w:t>Prema podacim</w:t>
      </w:r>
      <w:r>
        <w:rPr>
          <w:sz w:val="20"/>
          <w:szCs w:val="20"/>
        </w:rPr>
        <w:t>a</w:t>
      </w:r>
      <w:r w:rsidRPr="002D385B">
        <w:rPr>
          <w:sz w:val="20"/>
          <w:szCs w:val="20"/>
        </w:rPr>
        <w:t xml:space="preserve"> iz Izvještaja o prihodima i rashodima, primicima </w:t>
      </w:r>
      <w:r>
        <w:rPr>
          <w:sz w:val="20"/>
          <w:szCs w:val="20"/>
        </w:rPr>
        <w:t>i izdacima za period od 01.01.-31.12</w:t>
      </w:r>
      <w:r w:rsidRPr="002D385B">
        <w:rPr>
          <w:sz w:val="20"/>
          <w:szCs w:val="20"/>
        </w:rPr>
        <w:t>.201</w:t>
      </w:r>
      <w:r>
        <w:rPr>
          <w:sz w:val="20"/>
          <w:szCs w:val="20"/>
        </w:rPr>
        <w:t>9. godi</w:t>
      </w:r>
      <w:r w:rsidRPr="002D385B">
        <w:rPr>
          <w:sz w:val="20"/>
          <w:szCs w:val="20"/>
        </w:rPr>
        <w:t>ne,</w:t>
      </w:r>
      <w:r>
        <w:rPr>
          <w:sz w:val="20"/>
          <w:szCs w:val="20"/>
        </w:rPr>
        <w:t xml:space="preserve"> ukupni prihodi</w:t>
      </w:r>
      <w:r w:rsidRPr="002D385B">
        <w:rPr>
          <w:sz w:val="20"/>
          <w:szCs w:val="20"/>
        </w:rPr>
        <w:t xml:space="preserve"> os</w:t>
      </w:r>
      <w:r>
        <w:rPr>
          <w:sz w:val="20"/>
          <w:szCs w:val="20"/>
        </w:rPr>
        <w:t xml:space="preserve">tvareni su u iznosu od 6.450.949,33 kn, </w:t>
      </w:r>
      <w:r w:rsidRPr="002D385B">
        <w:rPr>
          <w:sz w:val="20"/>
          <w:szCs w:val="20"/>
        </w:rPr>
        <w:t>te se odnose na:</w:t>
      </w:r>
    </w:p>
    <w:p w14:paraId="5E6ACD4E" w14:textId="77777777" w:rsidR="0004412D" w:rsidRPr="002D385B" w:rsidRDefault="0004412D" w:rsidP="0004412D">
      <w:pPr>
        <w:ind w:left="705"/>
        <w:jc w:val="both"/>
        <w:rPr>
          <w:sz w:val="20"/>
          <w:szCs w:val="20"/>
        </w:rPr>
      </w:pPr>
    </w:p>
    <w:p w14:paraId="42531D2D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 w:rsidRPr="002D385B">
        <w:rPr>
          <w:sz w:val="20"/>
          <w:szCs w:val="20"/>
        </w:rPr>
        <w:t>Prihode od pore</w:t>
      </w:r>
      <w:r>
        <w:rPr>
          <w:sz w:val="20"/>
          <w:szCs w:val="20"/>
        </w:rPr>
        <w:t>za  (AOP 002) u iznosu od 3.156.404,44</w:t>
      </w:r>
      <w:r w:rsidRPr="005F2A09">
        <w:rPr>
          <w:sz w:val="20"/>
          <w:szCs w:val="20"/>
        </w:rPr>
        <w:t xml:space="preserve"> kn.</w:t>
      </w:r>
      <w:r>
        <w:rPr>
          <w:sz w:val="20"/>
          <w:szCs w:val="20"/>
        </w:rPr>
        <w:t xml:space="preserve"> Veći   su za  2,6</w:t>
      </w:r>
      <w:r w:rsidRPr="005F2A09">
        <w:rPr>
          <w:sz w:val="20"/>
          <w:szCs w:val="20"/>
        </w:rPr>
        <w:t xml:space="preserve"> %</w:t>
      </w:r>
      <w:r>
        <w:rPr>
          <w:sz w:val="20"/>
          <w:szCs w:val="20"/>
        </w:rPr>
        <w:t xml:space="preserve">  u odnosu na isto razdoblje prethodne godine.  </w:t>
      </w:r>
    </w:p>
    <w:p w14:paraId="09931A26" w14:textId="77777777" w:rsidR="0004412D" w:rsidRPr="004B4CF0" w:rsidRDefault="0004412D" w:rsidP="0004412D">
      <w:pPr>
        <w:jc w:val="both"/>
        <w:rPr>
          <w:sz w:val="20"/>
          <w:szCs w:val="20"/>
        </w:rPr>
      </w:pPr>
    </w:p>
    <w:p w14:paraId="6B5ECC43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Pomoći proračunu  (AOP 045</w:t>
      </w:r>
      <w:r w:rsidRPr="002D385B">
        <w:rPr>
          <w:sz w:val="20"/>
          <w:szCs w:val="20"/>
        </w:rPr>
        <w:t xml:space="preserve"> ) </w:t>
      </w:r>
      <w:r>
        <w:rPr>
          <w:sz w:val="20"/>
          <w:szCs w:val="20"/>
        </w:rPr>
        <w:t>u iznosu od 1.855.144,85</w:t>
      </w:r>
      <w:r w:rsidRPr="002D385B">
        <w:rPr>
          <w:sz w:val="20"/>
          <w:szCs w:val="20"/>
        </w:rPr>
        <w:t xml:space="preserve"> kn</w:t>
      </w:r>
      <w:r>
        <w:rPr>
          <w:sz w:val="20"/>
          <w:szCs w:val="20"/>
        </w:rPr>
        <w:t>, odnose se na</w:t>
      </w:r>
      <w:r w:rsidRPr="002D385B">
        <w:rPr>
          <w:sz w:val="20"/>
          <w:szCs w:val="20"/>
        </w:rPr>
        <w:t xml:space="preserve">:     </w:t>
      </w:r>
    </w:p>
    <w:p w14:paraId="2ECF29D7" w14:textId="77777777" w:rsidR="0004412D" w:rsidRDefault="0004412D" w:rsidP="000441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tekuće pomoći iz državnog proračuna</w:t>
      </w:r>
      <w:r w:rsidRPr="002D385B">
        <w:rPr>
          <w:sz w:val="20"/>
          <w:szCs w:val="20"/>
        </w:rPr>
        <w:t xml:space="preserve">  </w:t>
      </w:r>
      <w:r>
        <w:rPr>
          <w:sz w:val="20"/>
          <w:szCs w:val="20"/>
        </w:rPr>
        <w:t>u iznosu od 640,00 kn</w:t>
      </w:r>
    </w:p>
    <w:p w14:paraId="5C84EE8D" w14:textId="77777777" w:rsidR="0004412D" w:rsidRDefault="0004412D" w:rsidP="000441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tekuće pomoći iz županijskog proračuna i iznosu od 93.264,25 kn (povrat za izbore VNM, sredstva za ogrjev za korisnike socijalne pomoći i povrat jednog  dijela za </w:t>
      </w:r>
      <w:proofErr w:type="spellStart"/>
      <w:r>
        <w:rPr>
          <w:sz w:val="20"/>
          <w:szCs w:val="20"/>
        </w:rPr>
        <w:t>aerofotografsko</w:t>
      </w:r>
      <w:proofErr w:type="spellEnd"/>
      <w:r>
        <w:rPr>
          <w:sz w:val="20"/>
          <w:szCs w:val="20"/>
        </w:rPr>
        <w:t xml:space="preserve"> snimanje))</w:t>
      </w:r>
    </w:p>
    <w:p w14:paraId="72C08211" w14:textId="77777777" w:rsidR="0004412D" w:rsidRDefault="0004412D" w:rsidP="000441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kapitalne pomoći iz državnog proračuna u iznosu od 519.773,00 kn </w:t>
      </w:r>
      <w:r w:rsidRPr="002D385B">
        <w:rPr>
          <w:sz w:val="20"/>
          <w:szCs w:val="20"/>
        </w:rPr>
        <w:t xml:space="preserve">  </w:t>
      </w:r>
      <w:r>
        <w:rPr>
          <w:sz w:val="20"/>
          <w:szCs w:val="20"/>
        </w:rPr>
        <w:t>(MRR</w:t>
      </w:r>
      <w:r w:rsidRPr="002D385B">
        <w:rPr>
          <w:sz w:val="20"/>
          <w:szCs w:val="20"/>
        </w:rPr>
        <w:t xml:space="preserve">    </w:t>
      </w:r>
      <w:r>
        <w:rPr>
          <w:sz w:val="20"/>
          <w:szCs w:val="20"/>
        </w:rPr>
        <w:t>za izradu projektne dokumentacije za vodovodnu mrežu u Čakovcima i spojni cjevovod Čakovci-Bokšić, rekonstrukciju cesta na području općine, energetsku obnovu doma Čakovci</w:t>
      </w:r>
    </w:p>
    <w:p w14:paraId="5E4AC720" w14:textId="77777777" w:rsidR="0004412D" w:rsidRPr="002D385B" w:rsidRDefault="0004412D" w:rsidP="000441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tekuće pomoći od HZZ-a u iznosu od 263.015,28 kn za upošljavanje javnih radova</w:t>
      </w:r>
    </w:p>
    <w:p w14:paraId="75C607B0" w14:textId="77777777" w:rsidR="0004412D" w:rsidRDefault="0004412D" w:rsidP="000441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tekuće  pomoći temeljem prijenosa EU sredstava u iznosu od 878.452,32 kn ( Ministarstvo rada i mirovinskog sustava)</w:t>
      </w:r>
    </w:p>
    <w:p w14:paraId="4921EED0" w14:textId="77777777" w:rsidR="0004412D" w:rsidRDefault="0004412D" w:rsidP="0004412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Kapitalne pomoći iz državnog proračuna temeljem prijenosa EU u iznosu od 100.000,00 kn </w:t>
      </w:r>
    </w:p>
    <w:p w14:paraId="35D36F6A" w14:textId="77777777" w:rsidR="0004412D" w:rsidRDefault="0004412D" w:rsidP="0004412D">
      <w:pPr>
        <w:ind w:left="1068"/>
        <w:jc w:val="both"/>
        <w:rPr>
          <w:sz w:val="20"/>
          <w:szCs w:val="20"/>
        </w:rPr>
      </w:pPr>
    </w:p>
    <w:p w14:paraId="0B6604C9" w14:textId="77777777" w:rsidR="0004412D" w:rsidRPr="00C70EB3" w:rsidRDefault="0004412D" w:rsidP="0004412D">
      <w:pPr>
        <w:ind w:firstLine="70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Prihodi od  im</w:t>
      </w:r>
      <w:r>
        <w:rPr>
          <w:sz w:val="20"/>
          <w:szCs w:val="20"/>
        </w:rPr>
        <w:t xml:space="preserve">ovine ( AOP 074) iznose 1.018.819,43 kn </w:t>
      </w:r>
      <w:r w:rsidRPr="00C70EB3">
        <w:rPr>
          <w:sz w:val="20"/>
          <w:szCs w:val="20"/>
        </w:rPr>
        <w:t xml:space="preserve"> odnose se na prihode od kamata,   naknad</w:t>
      </w:r>
      <w:r>
        <w:rPr>
          <w:sz w:val="20"/>
          <w:szCs w:val="20"/>
        </w:rPr>
        <w:t>e za koncesije i prava služnosti</w:t>
      </w:r>
      <w:r w:rsidRPr="00C70EB3">
        <w:rPr>
          <w:sz w:val="20"/>
          <w:szCs w:val="20"/>
        </w:rPr>
        <w:t>, zakupa poljoprivrednog zemljiš</w:t>
      </w:r>
      <w:r>
        <w:rPr>
          <w:sz w:val="20"/>
          <w:szCs w:val="20"/>
        </w:rPr>
        <w:t>ta u vlasništvu RH, zakupa poljoprivrednog zemljišta u vlasništvu općine, ostali prihodi od nefinancijske imovine (legalizacija ).  Veći su  u  odnosu na isto razdoblje prethodne godine za 26,4 %.</w:t>
      </w:r>
    </w:p>
    <w:p w14:paraId="63D24D3D" w14:textId="77777777" w:rsidR="0004412D" w:rsidRPr="00C70EB3" w:rsidRDefault="0004412D" w:rsidP="0004412D">
      <w:pPr>
        <w:ind w:left="-180" w:firstLine="888"/>
        <w:jc w:val="both"/>
        <w:rPr>
          <w:sz w:val="20"/>
          <w:szCs w:val="20"/>
        </w:rPr>
      </w:pPr>
    </w:p>
    <w:p w14:paraId="15E9FC2C" w14:textId="77777777" w:rsidR="0004412D" w:rsidRDefault="0004412D" w:rsidP="0004412D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Prihodi od upravnih i administrativnih pristojbi i po posebnim propis</w:t>
      </w:r>
      <w:r>
        <w:rPr>
          <w:sz w:val="20"/>
          <w:szCs w:val="20"/>
        </w:rPr>
        <w:t xml:space="preserve">ima (AOP  105) iznose 247.740,83 </w:t>
      </w:r>
      <w:r w:rsidRPr="00C70EB3">
        <w:rPr>
          <w:sz w:val="20"/>
          <w:szCs w:val="20"/>
        </w:rPr>
        <w:t xml:space="preserve">kn </w:t>
      </w:r>
      <w:r>
        <w:rPr>
          <w:sz w:val="20"/>
          <w:szCs w:val="20"/>
        </w:rPr>
        <w:t>odnose se na:</w:t>
      </w:r>
      <w:r w:rsidRPr="00C70EB3">
        <w:rPr>
          <w:sz w:val="20"/>
          <w:szCs w:val="20"/>
        </w:rPr>
        <w:t xml:space="preserve"> općinske naknade po odluci vijeća, </w:t>
      </w:r>
      <w:r>
        <w:rPr>
          <w:sz w:val="20"/>
          <w:szCs w:val="20"/>
        </w:rPr>
        <w:t xml:space="preserve">grobnu naknadu, </w:t>
      </w:r>
      <w:r w:rsidRPr="00C70EB3">
        <w:rPr>
          <w:sz w:val="20"/>
          <w:szCs w:val="20"/>
        </w:rPr>
        <w:t>vodni dopri</w:t>
      </w:r>
      <w:r>
        <w:rPr>
          <w:sz w:val="20"/>
          <w:szCs w:val="20"/>
        </w:rPr>
        <w:t xml:space="preserve">nos, doprinos za šume, komunalni doprinos i komunalna naknadu – manji  </w:t>
      </w:r>
      <w:r w:rsidRPr="00C70EB3">
        <w:rPr>
          <w:sz w:val="20"/>
          <w:szCs w:val="20"/>
        </w:rPr>
        <w:t xml:space="preserve"> su u </w:t>
      </w:r>
      <w:r>
        <w:rPr>
          <w:sz w:val="20"/>
          <w:szCs w:val="20"/>
        </w:rPr>
        <w:t>odnosu na isto razdoblje prethodne godine za 18,10 % .</w:t>
      </w:r>
    </w:p>
    <w:p w14:paraId="4C7BE3BF" w14:textId="77777777" w:rsidR="0004412D" w:rsidRDefault="0004412D" w:rsidP="0004412D">
      <w:pPr>
        <w:jc w:val="both"/>
        <w:rPr>
          <w:sz w:val="20"/>
          <w:szCs w:val="20"/>
        </w:rPr>
      </w:pPr>
    </w:p>
    <w:p w14:paraId="47DD0654" w14:textId="77777777" w:rsidR="0004412D" w:rsidRDefault="0004412D" w:rsidP="0004412D">
      <w:pPr>
        <w:ind w:left="-180" w:firstLine="888"/>
        <w:jc w:val="both"/>
        <w:rPr>
          <w:sz w:val="20"/>
          <w:szCs w:val="20"/>
        </w:rPr>
      </w:pPr>
      <w:r>
        <w:rPr>
          <w:sz w:val="20"/>
          <w:szCs w:val="20"/>
        </w:rPr>
        <w:t>Prihodi od kazne, upravne mjere i ostali prihodi (AOP 136)  iznose 3.589,45 kn  odnose  se na prihode od nastalih troškova javnog bilježnika za ovrhe komunalne naknade, veći su u odnosu na prethodno razdoblje za 433,40 %. Iz razloga što su ovršeni nastali i predvidivi troškovi ovršnog postupka.</w:t>
      </w:r>
    </w:p>
    <w:p w14:paraId="0548AC98" w14:textId="77777777" w:rsidR="0004412D" w:rsidRPr="00C70EB3" w:rsidRDefault="0004412D" w:rsidP="0004412D">
      <w:pPr>
        <w:jc w:val="both"/>
        <w:rPr>
          <w:sz w:val="20"/>
          <w:szCs w:val="20"/>
        </w:rPr>
      </w:pPr>
    </w:p>
    <w:p w14:paraId="50120228" w14:textId="77777777" w:rsidR="0004412D" w:rsidRPr="005B4EE8" w:rsidRDefault="0004412D" w:rsidP="0004412D">
      <w:pPr>
        <w:ind w:left="-180" w:firstLine="888"/>
        <w:jc w:val="both"/>
        <w:rPr>
          <w:sz w:val="20"/>
          <w:szCs w:val="20"/>
        </w:rPr>
      </w:pPr>
      <w:r w:rsidRPr="005B4EE8">
        <w:rPr>
          <w:sz w:val="20"/>
          <w:szCs w:val="20"/>
        </w:rPr>
        <w:t xml:space="preserve">Prihodi od prodaje nefinancijske imovine (AOP 289) u iznosu od  169.250,35 kn manji su za 5,0 % u odnosu na isto razdoblje prethodne godine. Odnosi se   na uplate rate kredita  za kupovinu poljoprivrednog zemljišta  u </w:t>
      </w:r>
      <w:proofErr w:type="spellStart"/>
      <w:r w:rsidRPr="005B4EE8">
        <w:rPr>
          <w:sz w:val="20"/>
          <w:szCs w:val="20"/>
        </w:rPr>
        <w:t>vl</w:t>
      </w:r>
      <w:proofErr w:type="spellEnd"/>
      <w:r w:rsidRPr="005B4EE8">
        <w:rPr>
          <w:sz w:val="20"/>
          <w:szCs w:val="20"/>
        </w:rPr>
        <w:t xml:space="preserve">. RH. </w:t>
      </w:r>
    </w:p>
    <w:p w14:paraId="5DE9A88C" w14:textId="77777777" w:rsidR="0004412D" w:rsidRPr="005B4EE8" w:rsidRDefault="0004412D" w:rsidP="0004412D">
      <w:pPr>
        <w:ind w:left="-180"/>
        <w:jc w:val="both"/>
        <w:rPr>
          <w:sz w:val="20"/>
          <w:szCs w:val="20"/>
        </w:rPr>
      </w:pPr>
    </w:p>
    <w:p w14:paraId="67F3F1E7" w14:textId="77777777" w:rsidR="0004412D" w:rsidRPr="005B4EE8" w:rsidRDefault="0004412D" w:rsidP="0004412D">
      <w:pPr>
        <w:ind w:left="-180"/>
        <w:jc w:val="both"/>
        <w:rPr>
          <w:sz w:val="20"/>
          <w:szCs w:val="20"/>
        </w:rPr>
      </w:pPr>
      <w:r w:rsidRPr="005B4EE8">
        <w:rPr>
          <w:sz w:val="20"/>
          <w:szCs w:val="20"/>
        </w:rPr>
        <w:t xml:space="preserve"> Ukupni rashodi iznose 6.650.518,61 kn, te se odnose na:</w:t>
      </w:r>
    </w:p>
    <w:p w14:paraId="14940C1A" w14:textId="77777777" w:rsidR="0004412D" w:rsidRPr="005B4EE8" w:rsidRDefault="0004412D" w:rsidP="0004412D">
      <w:pPr>
        <w:ind w:left="-180"/>
        <w:jc w:val="both"/>
        <w:rPr>
          <w:sz w:val="20"/>
          <w:szCs w:val="20"/>
        </w:rPr>
      </w:pPr>
    </w:p>
    <w:p w14:paraId="0EA10B7A" w14:textId="77777777" w:rsidR="0004412D" w:rsidRDefault="0004412D" w:rsidP="0004412D">
      <w:pPr>
        <w:ind w:left="-180" w:firstLine="8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Rashodi poslovanja (AOP 148</w:t>
      </w:r>
      <w:r w:rsidRPr="00C70EB3">
        <w:rPr>
          <w:sz w:val="20"/>
          <w:szCs w:val="20"/>
        </w:rPr>
        <w:t>)</w:t>
      </w:r>
      <w:r>
        <w:rPr>
          <w:sz w:val="20"/>
          <w:szCs w:val="20"/>
        </w:rPr>
        <w:t xml:space="preserve">  u iznosu od 3.448.020,05</w:t>
      </w:r>
      <w:r w:rsidRPr="00C70EB3">
        <w:rPr>
          <w:sz w:val="20"/>
          <w:szCs w:val="20"/>
        </w:rPr>
        <w:t xml:space="preserve"> kn</w:t>
      </w:r>
      <w:r>
        <w:rPr>
          <w:sz w:val="20"/>
          <w:szCs w:val="20"/>
        </w:rPr>
        <w:t>, manji  su  za 1,9 % u odnosu na isto razdoblje prethodne godine, odnose se na:</w:t>
      </w:r>
    </w:p>
    <w:p w14:paraId="53420C7A" w14:textId="77777777" w:rsidR="0004412D" w:rsidRPr="00C70EB3" w:rsidRDefault="0004412D" w:rsidP="0004412D">
      <w:pPr>
        <w:ind w:left="-180" w:firstLine="888"/>
        <w:jc w:val="both"/>
        <w:rPr>
          <w:sz w:val="20"/>
          <w:szCs w:val="20"/>
        </w:rPr>
      </w:pPr>
    </w:p>
    <w:p w14:paraId="27E59743" w14:textId="77777777" w:rsidR="0004412D" w:rsidRDefault="0004412D" w:rsidP="0004412D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-rashod</w:t>
      </w:r>
      <w:r>
        <w:rPr>
          <w:sz w:val="20"/>
          <w:szCs w:val="20"/>
        </w:rPr>
        <w:t xml:space="preserve">i za zaposlene (AOP 149) iznose 1.637.332,90 kn - </w:t>
      </w:r>
      <w:r w:rsidRPr="00C70EB3">
        <w:rPr>
          <w:sz w:val="20"/>
          <w:szCs w:val="20"/>
        </w:rPr>
        <w:t>odnosi se na bruto plaće dužnosnika, dj</w:t>
      </w:r>
      <w:r>
        <w:rPr>
          <w:sz w:val="20"/>
          <w:szCs w:val="20"/>
        </w:rPr>
        <w:t>elatnika JUO , djelatnika javnih radova i djelatnika uposlenih po projektu Zaželi zbog kojih su se rashodi povećali (povećana visina minimalna osnovica za obračun doprinosa) za 8,7 % u odnosu na isto razdoblje prethodne  godine.</w:t>
      </w:r>
    </w:p>
    <w:p w14:paraId="2DE8B13E" w14:textId="77777777" w:rsidR="0004412D" w:rsidRPr="00C70EB3" w:rsidRDefault="0004412D" w:rsidP="0004412D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-materij</w:t>
      </w:r>
      <w:r>
        <w:rPr>
          <w:sz w:val="20"/>
          <w:szCs w:val="20"/>
        </w:rPr>
        <w:t xml:space="preserve">alni rashodi iznose (AOP 160) 1.165.513,35 </w:t>
      </w:r>
      <w:r w:rsidRPr="00C70EB3">
        <w:rPr>
          <w:sz w:val="20"/>
          <w:szCs w:val="20"/>
        </w:rPr>
        <w:t>kn ( odnosi se na rashode za službena putovanja, naknade za prijevoz na posao</w:t>
      </w:r>
      <w:r>
        <w:rPr>
          <w:sz w:val="20"/>
          <w:szCs w:val="20"/>
        </w:rPr>
        <w:t xml:space="preserve">, </w:t>
      </w:r>
      <w:r w:rsidRPr="00C70EB3">
        <w:rPr>
          <w:sz w:val="20"/>
          <w:szCs w:val="20"/>
        </w:rPr>
        <w:t xml:space="preserve"> uredski materijal</w:t>
      </w:r>
      <w:r>
        <w:rPr>
          <w:sz w:val="20"/>
          <w:szCs w:val="20"/>
        </w:rPr>
        <w:t xml:space="preserve"> i ostali materijalni rashodi  povećan je za 125,00 % zbog provedbe projekta Zaželi (paketi za korisnike-higijenske potrepštine)</w:t>
      </w:r>
      <w:r w:rsidRPr="00C70EB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materijal i sirovina povećane su za 914,6% zbog kupovine sadnica za javne površine i groblja, </w:t>
      </w:r>
      <w:r w:rsidRPr="00C70EB3">
        <w:rPr>
          <w:sz w:val="20"/>
          <w:szCs w:val="20"/>
        </w:rPr>
        <w:t>energiju,</w:t>
      </w:r>
      <w:r>
        <w:rPr>
          <w:sz w:val="20"/>
          <w:szCs w:val="20"/>
        </w:rPr>
        <w:t xml:space="preserve"> sitan inventar, materijal</w:t>
      </w:r>
      <w:r w:rsidRPr="00C70EB3">
        <w:rPr>
          <w:sz w:val="20"/>
          <w:szCs w:val="20"/>
        </w:rPr>
        <w:t xml:space="preserve"> za </w:t>
      </w:r>
      <w:proofErr w:type="spellStart"/>
      <w:r w:rsidRPr="00C70EB3">
        <w:rPr>
          <w:sz w:val="20"/>
          <w:szCs w:val="20"/>
        </w:rPr>
        <w:t>inv</w:t>
      </w:r>
      <w:proofErr w:type="spellEnd"/>
      <w:r w:rsidRPr="00C70EB3">
        <w:rPr>
          <w:sz w:val="20"/>
          <w:szCs w:val="20"/>
        </w:rPr>
        <w:t>. održa</w:t>
      </w:r>
      <w:r>
        <w:rPr>
          <w:sz w:val="20"/>
          <w:szCs w:val="20"/>
        </w:rPr>
        <w:t>vanja</w:t>
      </w:r>
      <w:r w:rsidRPr="00DD504B">
        <w:rPr>
          <w:sz w:val="20"/>
          <w:szCs w:val="20"/>
        </w:rPr>
        <w:t xml:space="preserve"> </w:t>
      </w:r>
      <w:r>
        <w:rPr>
          <w:sz w:val="20"/>
          <w:szCs w:val="20"/>
        </w:rPr>
        <w:t>povećane su za 49,8 %  zbog  izrade kapije i ograde za zgradu za javne inicijative,</w:t>
      </w:r>
      <w:r w:rsidRPr="008E6E19">
        <w:rPr>
          <w:sz w:val="20"/>
          <w:szCs w:val="20"/>
        </w:rPr>
        <w:t xml:space="preserve"> </w:t>
      </w:r>
      <w:r w:rsidRPr="00C70EB3">
        <w:rPr>
          <w:sz w:val="20"/>
          <w:szCs w:val="20"/>
        </w:rPr>
        <w:t>usluge telefona</w:t>
      </w:r>
      <w:r>
        <w:rPr>
          <w:sz w:val="20"/>
          <w:szCs w:val="20"/>
        </w:rPr>
        <w:t xml:space="preserve"> ,usluge promidžbe i  informiranja, komunalne usluge, zdravstvene i veterinarske usluge veće su za 80,9 % ( obavljen je sistematski pregled djelatnika)., ostale usluge veće su za 133,5 % odnose se na plaćanje naknade PU ,   naknad</w:t>
      </w:r>
      <w:r w:rsidRPr="00C70EB3">
        <w:rPr>
          <w:sz w:val="20"/>
          <w:szCs w:val="20"/>
        </w:rPr>
        <w:t>e za rad predstavničkih i izvršnih t</w:t>
      </w:r>
      <w:r>
        <w:rPr>
          <w:sz w:val="20"/>
          <w:szCs w:val="20"/>
        </w:rPr>
        <w:t>i</w:t>
      </w:r>
      <w:r w:rsidRPr="00C70EB3">
        <w:rPr>
          <w:sz w:val="20"/>
          <w:szCs w:val="20"/>
        </w:rPr>
        <w:t xml:space="preserve">jela, troškove reprezentacije </w:t>
      </w:r>
      <w:r>
        <w:rPr>
          <w:sz w:val="20"/>
          <w:szCs w:val="20"/>
        </w:rPr>
        <w:t xml:space="preserve">koje su veće za 75,5 % u odnosu na isto razdoblje prošle godine(proveden projekt Razvoj publike u kulturi u naselju Bokšić) </w:t>
      </w:r>
      <w:r w:rsidRPr="00C70EB3">
        <w:rPr>
          <w:sz w:val="20"/>
          <w:szCs w:val="20"/>
        </w:rPr>
        <w:t>i sl</w:t>
      </w:r>
      <w:r>
        <w:rPr>
          <w:sz w:val="20"/>
          <w:szCs w:val="20"/>
        </w:rPr>
        <w:t>..</w:t>
      </w:r>
    </w:p>
    <w:p w14:paraId="52E47170" w14:textId="77777777" w:rsidR="0004412D" w:rsidRDefault="0004412D" w:rsidP="0004412D">
      <w:pPr>
        <w:ind w:left="-180" w:firstLine="888"/>
        <w:jc w:val="both"/>
        <w:rPr>
          <w:sz w:val="20"/>
          <w:szCs w:val="20"/>
        </w:rPr>
      </w:pPr>
      <w:r w:rsidRPr="00C70EB3">
        <w:rPr>
          <w:sz w:val="20"/>
          <w:szCs w:val="20"/>
        </w:rPr>
        <w:t>-fina</w:t>
      </w:r>
      <w:r>
        <w:rPr>
          <w:sz w:val="20"/>
          <w:szCs w:val="20"/>
        </w:rPr>
        <w:t xml:space="preserve">ncijski rashodi (AOP 193) iznose 26.835,54  kn </w:t>
      </w:r>
      <w:r w:rsidRPr="00C70EB3">
        <w:rPr>
          <w:sz w:val="20"/>
          <w:szCs w:val="20"/>
        </w:rPr>
        <w:t xml:space="preserve"> odnose se na usluge banke i FIN-e</w:t>
      </w:r>
      <w:r>
        <w:rPr>
          <w:sz w:val="20"/>
          <w:szCs w:val="20"/>
        </w:rPr>
        <w:t>.</w:t>
      </w:r>
    </w:p>
    <w:p w14:paraId="20E0AE54" w14:textId="77777777" w:rsidR="0004412D" w:rsidRDefault="0004412D" w:rsidP="0004412D">
      <w:pPr>
        <w:ind w:left="-180" w:firstLine="8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pomoći dane u inozemstvo i unutar općeg proračuna (AOP 221) iznose 70.633,35 kn, odnosi se na prebacivanje sredstava 55.000,00 za financiranje Razvojne agencije TINTL zajedničkog proračunskog korisnika, </w:t>
      </w:r>
      <w:r>
        <w:rPr>
          <w:sz w:val="20"/>
          <w:szCs w:val="20"/>
        </w:rPr>
        <w:lastRenderedPageBreak/>
        <w:t xml:space="preserve">danu pomoć općini Tovarnik za održavanje manifestacije </w:t>
      </w:r>
      <w:proofErr w:type="spellStart"/>
      <w:r>
        <w:rPr>
          <w:sz w:val="20"/>
          <w:szCs w:val="20"/>
        </w:rPr>
        <w:t>Bundevijada</w:t>
      </w:r>
      <w:proofErr w:type="spellEnd"/>
      <w:r>
        <w:rPr>
          <w:sz w:val="20"/>
          <w:szCs w:val="20"/>
        </w:rPr>
        <w:t xml:space="preserve"> 2.000,00 kn sufinanciranje besplatnog prijevoza umirovljenicima u toplice 9.000,00 kn, sufinanciranje medijske kampanje borbe protiv ovisnosti o duhanskim proizvodima, alkoholu i drogama na području VSŽ  3.000,00 kn, široko pojasni internet  1.533,35 kn</w:t>
      </w:r>
    </w:p>
    <w:p w14:paraId="668CA1C8" w14:textId="77777777" w:rsidR="0004412D" w:rsidRDefault="0004412D" w:rsidP="0004412D">
      <w:pPr>
        <w:ind w:left="-180"/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   </w:t>
      </w:r>
      <w:r w:rsidRPr="00C70EB3">
        <w:rPr>
          <w:sz w:val="20"/>
          <w:szCs w:val="20"/>
        </w:rPr>
        <w:tab/>
      </w:r>
      <w:r w:rsidRPr="00C70EB3">
        <w:rPr>
          <w:sz w:val="20"/>
          <w:szCs w:val="20"/>
        </w:rPr>
        <w:tab/>
        <w:t>-naknade građanima</w:t>
      </w:r>
      <w:r>
        <w:rPr>
          <w:sz w:val="20"/>
          <w:szCs w:val="20"/>
        </w:rPr>
        <w:t xml:space="preserve"> i kućanstvima (AOP 246) iznose 67.088,33 </w:t>
      </w:r>
      <w:r w:rsidRPr="00C70EB3">
        <w:rPr>
          <w:sz w:val="20"/>
          <w:szCs w:val="20"/>
        </w:rPr>
        <w:t>kn</w:t>
      </w:r>
      <w:r w:rsidRPr="00B02410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C70EB3">
        <w:rPr>
          <w:sz w:val="20"/>
          <w:szCs w:val="20"/>
        </w:rPr>
        <w:t>dnose se na</w:t>
      </w:r>
      <w:r>
        <w:rPr>
          <w:sz w:val="20"/>
          <w:szCs w:val="20"/>
        </w:rPr>
        <w:t xml:space="preserve"> naknade za financiranje  režijskih troškova za socijalno ugrožene osobe, naknade za novorođeno dijete, jednokratne naknade, </w:t>
      </w:r>
      <w:r w:rsidRPr="00C70EB3">
        <w:rPr>
          <w:sz w:val="20"/>
          <w:szCs w:val="20"/>
        </w:rPr>
        <w:t>sufinanciranje mj</w:t>
      </w:r>
      <w:r>
        <w:rPr>
          <w:sz w:val="20"/>
          <w:szCs w:val="20"/>
        </w:rPr>
        <w:t xml:space="preserve">esečne  karte srednjoškolcima, naknade za ogrjev, kupovinu božićnih paketića za predškolsku i školsku djecu.  Manje su u odnosu na isto razdoblje prošle godine za 13,7 %   </w:t>
      </w:r>
    </w:p>
    <w:p w14:paraId="3C276A9F" w14:textId="77777777" w:rsidR="0004412D" w:rsidRDefault="0004412D" w:rsidP="0004412D">
      <w:pPr>
        <w:ind w:left="-180"/>
        <w:jc w:val="both"/>
        <w:rPr>
          <w:sz w:val="20"/>
          <w:szCs w:val="20"/>
        </w:rPr>
      </w:pPr>
    </w:p>
    <w:p w14:paraId="4F321DFE" w14:textId="77777777" w:rsidR="0004412D" w:rsidRDefault="0004412D" w:rsidP="0004412D">
      <w:pPr>
        <w:ind w:lef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o</w:t>
      </w:r>
      <w:r w:rsidRPr="00DE5EF5">
        <w:rPr>
          <w:sz w:val="20"/>
          <w:szCs w:val="20"/>
        </w:rPr>
        <w:t xml:space="preserve">stali rashodi </w:t>
      </w:r>
      <w:r>
        <w:rPr>
          <w:sz w:val="20"/>
          <w:szCs w:val="20"/>
        </w:rPr>
        <w:t xml:space="preserve">(AOP 257) </w:t>
      </w:r>
      <w:r w:rsidRPr="00DE5EF5">
        <w:rPr>
          <w:sz w:val="20"/>
          <w:szCs w:val="20"/>
        </w:rPr>
        <w:t>-   tekuće</w:t>
      </w:r>
      <w:r>
        <w:rPr>
          <w:sz w:val="20"/>
          <w:szCs w:val="20"/>
        </w:rPr>
        <w:t xml:space="preserve"> donacije u iznosu od 480.716,58 kn odnose </w:t>
      </w:r>
      <w:r w:rsidRPr="00DE5EF5">
        <w:rPr>
          <w:sz w:val="20"/>
          <w:szCs w:val="20"/>
        </w:rPr>
        <w:t>na:</w:t>
      </w:r>
    </w:p>
    <w:p w14:paraId="50B57702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5696D">
        <w:rPr>
          <w:sz w:val="20"/>
          <w:szCs w:val="20"/>
        </w:rPr>
        <w:t>prijenos sredstava poli</w:t>
      </w:r>
      <w:r>
        <w:rPr>
          <w:sz w:val="20"/>
          <w:szCs w:val="20"/>
        </w:rPr>
        <w:t>tičkim strankama u iznosu od 12.400,00</w:t>
      </w:r>
      <w:r w:rsidRPr="00C5696D">
        <w:rPr>
          <w:sz w:val="20"/>
          <w:szCs w:val="20"/>
        </w:rPr>
        <w:t xml:space="preserve"> kn.</w:t>
      </w:r>
    </w:p>
    <w:p w14:paraId="5CA36A7B" w14:textId="77777777" w:rsidR="0004412D" w:rsidRPr="00674981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OŠ Čakovci za kupovinu obrazovnog materijala u iznosu od 28.862,05 kn</w:t>
      </w:r>
    </w:p>
    <w:p w14:paraId="0438D9F6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 w:rsidRPr="00C5696D">
        <w:rPr>
          <w:sz w:val="20"/>
          <w:szCs w:val="20"/>
        </w:rPr>
        <w:t>- prijenos</w:t>
      </w:r>
      <w:r>
        <w:rPr>
          <w:sz w:val="20"/>
          <w:szCs w:val="20"/>
        </w:rPr>
        <w:t xml:space="preserve"> za rad bibliobusa u iznosu od 10.00</w:t>
      </w:r>
      <w:r w:rsidRPr="00C5696D">
        <w:rPr>
          <w:sz w:val="20"/>
          <w:szCs w:val="20"/>
        </w:rPr>
        <w:t>0,00 kn</w:t>
      </w:r>
    </w:p>
    <w:p w14:paraId="140E6DB7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za promicanje kulture u iznosu od 23.375,00 kn</w:t>
      </w:r>
    </w:p>
    <w:p w14:paraId="0893B391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za sport i rekreaciju iznosu od 68.000,00  kn</w:t>
      </w:r>
    </w:p>
    <w:p w14:paraId="255C69FD" w14:textId="77777777" w:rsidR="0004412D" w:rsidRPr="00356AC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za  javne potrebe ostalih udruga u iznosu od 29.300,00 kn</w:t>
      </w:r>
    </w:p>
    <w:p w14:paraId="655ADE1B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TINTL-u u iznosu od 30.000,00 kn</w:t>
      </w:r>
    </w:p>
    <w:p w14:paraId="6A07B1C9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udruzi potrošača u iznosu od 3.600,00 kn</w:t>
      </w:r>
    </w:p>
    <w:p w14:paraId="443C4F26" w14:textId="77777777" w:rsidR="0004412D" w:rsidRPr="00C5696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vjerskim zajednicama u iznosu od 15.000,00 kn</w:t>
      </w:r>
    </w:p>
    <w:p w14:paraId="58B54A8E" w14:textId="77777777" w:rsidR="0004412D" w:rsidRPr="00C5696D" w:rsidRDefault="0004412D" w:rsidP="0004412D">
      <w:pPr>
        <w:ind w:firstLine="708"/>
        <w:jc w:val="both"/>
        <w:rPr>
          <w:sz w:val="20"/>
          <w:szCs w:val="20"/>
        </w:rPr>
      </w:pPr>
      <w:r w:rsidRPr="00C5696D">
        <w:rPr>
          <w:sz w:val="20"/>
          <w:szCs w:val="20"/>
        </w:rPr>
        <w:t>- prijenos sredstava LAG SRIJEM u iznosu od 15.000,00 kn</w:t>
      </w:r>
    </w:p>
    <w:p w14:paraId="3DFA1D0D" w14:textId="77777777" w:rsidR="0004412D" w:rsidRPr="0022754E" w:rsidRDefault="0004412D" w:rsidP="0004412D">
      <w:pPr>
        <w:ind w:firstLine="708"/>
        <w:jc w:val="both"/>
        <w:rPr>
          <w:sz w:val="20"/>
          <w:szCs w:val="20"/>
        </w:rPr>
      </w:pPr>
      <w:r w:rsidRPr="0022754E">
        <w:rPr>
          <w:sz w:val="20"/>
          <w:szCs w:val="20"/>
        </w:rPr>
        <w:t>- prijenos sredstava za održa</w:t>
      </w:r>
      <w:r>
        <w:rPr>
          <w:sz w:val="20"/>
          <w:szCs w:val="20"/>
        </w:rPr>
        <w:t>vanje  igraonice  u iznosu od 15.000,00</w:t>
      </w:r>
      <w:r w:rsidRPr="0022754E">
        <w:rPr>
          <w:sz w:val="20"/>
          <w:szCs w:val="20"/>
        </w:rPr>
        <w:t xml:space="preserve"> kn</w:t>
      </w:r>
    </w:p>
    <w:p w14:paraId="3F39520A" w14:textId="77777777" w:rsidR="0004412D" w:rsidRDefault="0004412D" w:rsidP="0004412D">
      <w:pPr>
        <w:ind w:left="708"/>
        <w:jc w:val="both"/>
        <w:rPr>
          <w:sz w:val="20"/>
          <w:szCs w:val="20"/>
        </w:rPr>
      </w:pPr>
      <w:r w:rsidRPr="0022754E">
        <w:rPr>
          <w:sz w:val="20"/>
          <w:szCs w:val="20"/>
        </w:rPr>
        <w:t xml:space="preserve">- prijenos sredstava OŠ Čakovci za održavanje </w:t>
      </w:r>
      <w:proofErr w:type="spellStart"/>
      <w:r w:rsidRPr="0022754E">
        <w:rPr>
          <w:sz w:val="20"/>
          <w:szCs w:val="20"/>
        </w:rPr>
        <w:t>pre</w:t>
      </w:r>
      <w:r>
        <w:rPr>
          <w:sz w:val="20"/>
          <w:szCs w:val="20"/>
        </w:rPr>
        <w:t>d</w:t>
      </w:r>
      <w:r w:rsidRPr="0022754E">
        <w:rPr>
          <w:sz w:val="20"/>
          <w:szCs w:val="20"/>
        </w:rPr>
        <w:t>škole</w:t>
      </w:r>
      <w:proofErr w:type="spellEnd"/>
      <w:r w:rsidRPr="0022754E">
        <w:rPr>
          <w:sz w:val="20"/>
          <w:szCs w:val="20"/>
        </w:rPr>
        <w:t xml:space="preserve"> (plaća) i podmirenje režijskih troškova u      </w:t>
      </w:r>
      <w:r>
        <w:rPr>
          <w:sz w:val="20"/>
          <w:szCs w:val="20"/>
        </w:rPr>
        <w:t xml:space="preserve">         iznosu od 34.971,22 </w:t>
      </w:r>
      <w:r w:rsidRPr="0022754E">
        <w:rPr>
          <w:sz w:val="20"/>
          <w:szCs w:val="20"/>
        </w:rPr>
        <w:t>kn</w:t>
      </w:r>
    </w:p>
    <w:p w14:paraId="150D2D11" w14:textId="77777777" w:rsidR="0004412D" w:rsidRPr="0022754E" w:rsidRDefault="0004412D" w:rsidP="0004412D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za izbornu promidžbu vijeća nacionalnih manjina u iznosu od 13.000,00 kn</w:t>
      </w:r>
    </w:p>
    <w:p w14:paraId="35869A13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 w:rsidRPr="00810972">
        <w:rPr>
          <w:sz w:val="20"/>
          <w:szCs w:val="20"/>
        </w:rPr>
        <w:t xml:space="preserve">- prijenos sredstava DVD-u u </w:t>
      </w:r>
      <w:r>
        <w:rPr>
          <w:sz w:val="20"/>
          <w:szCs w:val="20"/>
        </w:rPr>
        <w:t>iznosu od 158.077,46</w:t>
      </w:r>
      <w:r w:rsidRPr="00810972">
        <w:rPr>
          <w:sz w:val="20"/>
          <w:szCs w:val="20"/>
        </w:rPr>
        <w:t xml:space="preserve"> kn. </w:t>
      </w:r>
    </w:p>
    <w:p w14:paraId="07D1ADE3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HGS-u u iznosu od 2.000,00 kn</w:t>
      </w:r>
    </w:p>
    <w:p w14:paraId="12088EEC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prijenos </w:t>
      </w:r>
      <w:proofErr w:type="spellStart"/>
      <w:r>
        <w:rPr>
          <w:sz w:val="20"/>
          <w:szCs w:val="20"/>
        </w:rPr>
        <w:t>sredstav</w:t>
      </w:r>
      <w:proofErr w:type="spellEnd"/>
      <w:r>
        <w:rPr>
          <w:sz w:val="20"/>
          <w:szCs w:val="20"/>
        </w:rPr>
        <w:t xml:space="preserve"> CK u iznosu od 22.130,85 kn</w:t>
      </w:r>
    </w:p>
    <w:p w14:paraId="6D5FA2B6" w14:textId="77777777" w:rsidR="0004412D" w:rsidRPr="00674981" w:rsidRDefault="0004412D" w:rsidP="0004412D">
      <w:pPr>
        <w:ind w:firstLine="708"/>
        <w:jc w:val="both"/>
        <w:rPr>
          <w:sz w:val="20"/>
          <w:szCs w:val="20"/>
        </w:rPr>
      </w:pPr>
    </w:p>
    <w:p w14:paraId="08F21C0D" w14:textId="77777777" w:rsidR="0004412D" w:rsidRPr="00674981" w:rsidRDefault="0004412D" w:rsidP="0004412D">
      <w:pPr>
        <w:ind w:firstLine="708"/>
        <w:jc w:val="both"/>
        <w:rPr>
          <w:sz w:val="20"/>
          <w:szCs w:val="20"/>
        </w:rPr>
      </w:pPr>
      <w:r w:rsidRPr="00674981">
        <w:rPr>
          <w:sz w:val="20"/>
          <w:szCs w:val="20"/>
        </w:rPr>
        <w:t>Rashodi za nabavu nefinancijs</w:t>
      </w:r>
      <w:r>
        <w:rPr>
          <w:sz w:val="20"/>
          <w:szCs w:val="20"/>
        </w:rPr>
        <w:t>ke imovine (AOP 341) u iznosu od 3.202.498,56</w:t>
      </w:r>
      <w:r w:rsidRPr="00674981">
        <w:rPr>
          <w:sz w:val="20"/>
          <w:szCs w:val="20"/>
        </w:rPr>
        <w:t xml:space="preserve"> kn odnose se na </w:t>
      </w:r>
      <w:r>
        <w:rPr>
          <w:sz w:val="20"/>
          <w:szCs w:val="20"/>
        </w:rPr>
        <w:t xml:space="preserve"> rekonstrukciju zgrade za javne inicijative u </w:t>
      </w:r>
      <w:proofErr w:type="spellStart"/>
      <w:r>
        <w:rPr>
          <w:sz w:val="20"/>
          <w:szCs w:val="20"/>
        </w:rPr>
        <w:t>Tompojevcima</w:t>
      </w:r>
      <w:proofErr w:type="spellEnd"/>
      <w:r>
        <w:rPr>
          <w:sz w:val="20"/>
          <w:szCs w:val="20"/>
        </w:rPr>
        <w:t xml:space="preserve">, rekonstrukciju cesta u naseljima općine Tompojevci, (dovršetak prolaza Z. </w:t>
      </w:r>
      <w:proofErr w:type="spellStart"/>
      <w:r>
        <w:rPr>
          <w:sz w:val="20"/>
          <w:szCs w:val="20"/>
        </w:rPr>
        <w:t>Batakovića</w:t>
      </w:r>
      <w:proofErr w:type="spellEnd"/>
      <w:r>
        <w:rPr>
          <w:sz w:val="20"/>
          <w:szCs w:val="20"/>
        </w:rPr>
        <w:t xml:space="preserve"> i 204 Brigade </w:t>
      </w:r>
      <w:proofErr w:type="spellStart"/>
      <w:r>
        <w:rPr>
          <w:sz w:val="20"/>
          <w:szCs w:val="20"/>
        </w:rPr>
        <w:t>Mikluševci</w:t>
      </w:r>
      <w:proofErr w:type="spellEnd"/>
      <w:r>
        <w:rPr>
          <w:sz w:val="20"/>
          <w:szCs w:val="20"/>
        </w:rPr>
        <w:t xml:space="preserve">, rekonstrukcija ceste i parkiralište prema nogometnom igralištu </w:t>
      </w:r>
      <w:proofErr w:type="spellStart"/>
      <w:r>
        <w:rPr>
          <w:sz w:val="20"/>
          <w:szCs w:val="20"/>
        </w:rPr>
        <w:t>Berak</w:t>
      </w:r>
      <w:proofErr w:type="spellEnd"/>
      <w:r>
        <w:rPr>
          <w:sz w:val="20"/>
          <w:szCs w:val="20"/>
        </w:rPr>
        <w:t xml:space="preserve">, izgradnja parkirališta kod zgrade za javne inicijative u </w:t>
      </w:r>
      <w:proofErr w:type="spellStart"/>
      <w:r>
        <w:rPr>
          <w:sz w:val="20"/>
          <w:szCs w:val="20"/>
        </w:rPr>
        <w:t>Tompojevcima</w:t>
      </w:r>
      <w:proofErr w:type="spellEnd"/>
      <w:r>
        <w:rPr>
          <w:sz w:val="20"/>
          <w:szCs w:val="20"/>
        </w:rPr>
        <w:t xml:space="preserve">), izradu elaborata i troškovnika za sportske svlačionice u </w:t>
      </w:r>
      <w:proofErr w:type="spellStart"/>
      <w:r>
        <w:rPr>
          <w:sz w:val="20"/>
          <w:szCs w:val="20"/>
        </w:rPr>
        <w:t>Mikluševcima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Tompojevcima</w:t>
      </w:r>
      <w:proofErr w:type="spellEnd"/>
      <w:r>
        <w:rPr>
          <w:sz w:val="20"/>
          <w:szCs w:val="20"/>
        </w:rPr>
        <w:t xml:space="preserve">,  izradu  projektne dokumentacije za vodovodnu mrežu u Čakovcima i spojni cjevovod  Čakovci- Bokšić, namještaj za CJIN –uredi općine i domove kulture u Čakovcima, </w:t>
      </w:r>
      <w:proofErr w:type="spellStart"/>
      <w:r>
        <w:rPr>
          <w:sz w:val="20"/>
          <w:szCs w:val="20"/>
        </w:rPr>
        <w:t>Berku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Tompojevcima</w:t>
      </w:r>
      <w:proofErr w:type="spellEnd"/>
      <w:r>
        <w:rPr>
          <w:sz w:val="20"/>
          <w:szCs w:val="20"/>
        </w:rPr>
        <w:t>, kupovinu kompjutera, kosilice, komunalne opreme.</w:t>
      </w:r>
    </w:p>
    <w:p w14:paraId="4B2AE2FB" w14:textId="77777777" w:rsidR="0004412D" w:rsidRDefault="0004412D" w:rsidP="000441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Obračunati prihodi  –nenaplaćeni iznose (AOP 409) iznose 1.778.286,00 kn</w:t>
      </w:r>
    </w:p>
    <w:p w14:paraId="4752A33B" w14:textId="77777777" w:rsidR="0004412D" w:rsidRPr="00C70EB3" w:rsidRDefault="0004412D" w:rsidP="0004412D">
      <w:pPr>
        <w:jc w:val="both"/>
        <w:rPr>
          <w:sz w:val="20"/>
          <w:szCs w:val="20"/>
        </w:rPr>
      </w:pPr>
    </w:p>
    <w:p w14:paraId="484CE56D" w14:textId="77777777" w:rsidR="0004412D" w:rsidRPr="00C902EB" w:rsidRDefault="0004412D" w:rsidP="0004412D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C902EB">
        <w:rPr>
          <w:sz w:val="20"/>
          <w:szCs w:val="20"/>
        </w:rPr>
        <w:t>išak prihoda raspoloživ u</w:t>
      </w:r>
      <w:r>
        <w:rPr>
          <w:sz w:val="20"/>
          <w:szCs w:val="20"/>
        </w:rPr>
        <w:t xml:space="preserve"> slijedećem razdoblju  ( AOP 635) iznosi 3.050.047,58 </w:t>
      </w:r>
      <w:r w:rsidRPr="00C902EB">
        <w:rPr>
          <w:sz w:val="20"/>
          <w:szCs w:val="20"/>
        </w:rPr>
        <w:t>kn.</w:t>
      </w:r>
    </w:p>
    <w:p w14:paraId="490A5C04" w14:textId="77777777" w:rsidR="0004412D" w:rsidRPr="00C902EB" w:rsidRDefault="0004412D" w:rsidP="0004412D">
      <w:pPr>
        <w:ind w:firstLine="708"/>
        <w:jc w:val="both"/>
        <w:rPr>
          <w:sz w:val="20"/>
          <w:szCs w:val="20"/>
        </w:rPr>
      </w:pPr>
    </w:p>
    <w:p w14:paraId="2D78E1FE" w14:textId="77777777" w:rsidR="0004412D" w:rsidRDefault="0004412D" w:rsidP="0004412D">
      <w:pPr>
        <w:pStyle w:val="Naslov8"/>
        <w:ind w:firstLine="708"/>
        <w:rPr>
          <w:sz w:val="20"/>
          <w:szCs w:val="20"/>
        </w:rPr>
      </w:pPr>
    </w:p>
    <w:p w14:paraId="11828D44" w14:textId="77777777" w:rsidR="0004412D" w:rsidRDefault="0004412D" w:rsidP="0004412D">
      <w:pPr>
        <w:pStyle w:val="Naslov8"/>
        <w:ind w:firstLine="708"/>
        <w:rPr>
          <w:sz w:val="20"/>
          <w:szCs w:val="20"/>
        </w:rPr>
      </w:pPr>
    </w:p>
    <w:p w14:paraId="587221D3" w14:textId="77777777" w:rsidR="0004412D" w:rsidRDefault="0004412D" w:rsidP="0004412D">
      <w:pPr>
        <w:pStyle w:val="Naslov8"/>
        <w:ind w:firstLine="708"/>
        <w:rPr>
          <w:sz w:val="20"/>
          <w:szCs w:val="20"/>
        </w:rPr>
      </w:pPr>
    </w:p>
    <w:p w14:paraId="2D88775E" w14:textId="77777777" w:rsidR="0004412D" w:rsidRDefault="0004412D" w:rsidP="0004412D">
      <w:pPr>
        <w:pStyle w:val="Naslov8"/>
        <w:ind w:firstLine="708"/>
        <w:rPr>
          <w:sz w:val="20"/>
          <w:szCs w:val="20"/>
        </w:rPr>
      </w:pPr>
    </w:p>
    <w:p w14:paraId="67581136" w14:textId="77777777" w:rsidR="0004412D" w:rsidRDefault="0004412D" w:rsidP="0004412D">
      <w:pPr>
        <w:pStyle w:val="Naslov8"/>
        <w:ind w:firstLine="708"/>
        <w:rPr>
          <w:sz w:val="20"/>
          <w:szCs w:val="20"/>
        </w:rPr>
      </w:pPr>
    </w:p>
    <w:p w14:paraId="38992A12" w14:textId="77777777" w:rsidR="0004412D" w:rsidRPr="005809D1" w:rsidRDefault="0004412D" w:rsidP="0004412D">
      <w:pPr>
        <w:pStyle w:val="Naslov6"/>
        <w:tabs>
          <w:tab w:val="left" w:pos="720"/>
        </w:tabs>
        <w:rPr>
          <w:b/>
          <w:sz w:val="20"/>
          <w:szCs w:val="20"/>
        </w:rPr>
      </w:pPr>
      <w:r w:rsidRPr="005809D1">
        <w:rPr>
          <w:b/>
          <w:sz w:val="20"/>
          <w:szCs w:val="20"/>
        </w:rPr>
        <w:t>BILJEŠKA UZ OBRAZAC P-VRIO ZA 201</w:t>
      </w:r>
      <w:r>
        <w:rPr>
          <w:b/>
          <w:sz w:val="20"/>
          <w:szCs w:val="20"/>
        </w:rPr>
        <w:t>9</w:t>
      </w:r>
      <w:r w:rsidRPr="005809D1">
        <w:rPr>
          <w:b/>
          <w:sz w:val="20"/>
          <w:szCs w:val="20"/>
        </w:rPr>
        <w:t>. GODINU</w:t>
      </w:r>
    </w:p>
    <w:p w14:paraId="66EFCC21" w14:textId="77777777" w:rsidR="0004412D" w:rsidRPr="00A13B78" w:rsidRDefault="0004412D" w:rsidP="0004412D">
      <w:pPr>
        <w:jc w:val="both"/>
      </w:pPr>
    </w:p>
    <w:p w14:paraId="1876F4CB" w14:textId="77777777" w:rsidR="0004412D" w:rsidRPr="00A13B78" w:rsidRDefault="0004412D" w:rsidP="0004412D">
      <w:pPr>
        <w:jc w:val="both"/>
      </w:pPr>
    </w:p>
    <w:p w14:paraId="2699CB51" w14:textId="77777777" w:rsidR="0004412D" w:rsidRDefault="0004412D" w:rsidP="0004412D">
      <w:pPr>
        <w:pStyle w:val="Tijeloteksta2"/>
        <w:ind w:firstLine="708"/>
        <w:rPr>
          <w:sz w:val="20"/>
          <w:szCs w:val="20"/>
        </w:rPr>
      </w:pPr>
      <w:r w:rsidRPr="005809D1">
        <w:rPr>
          <w:sz w:val="20"/>
          <w:szCs w:val="20"/>
        </w:rPr>
        <w:t>Promjene u vrijednosti i obujmu imovine i obveze za 2</w:t>
      </w:r>
      <w:r>
        <w:rPr>
          <w:sz w:val="20"/>
          <w:szCs w:val="20"/>
        </w:rPr>
        <w:t>019.</w:t>
      </w:r>
      <w:r w:rsidRPr="005809D1">
        <w:rPr>
          <w:sz w:val="20"/>
          <w:szCs w:val="20"/>
        </w:rPr>
        <w:t xml:space="preserve"> godinu odnose se na </w:t>
      </w:r>
      <w:r>
        <w:rPr>
          <w:sz w:val="20"/>
          <w:szCs w:val="20"/>
        </w:rPr>
        <w:t>povećanje</w:t>
      </w:r>
      <w:r w:rsidRPr="005809D1">
        <w:rPr>
          <w:sz w:val="20"/>
          <w:szCs w:val="20"/>
        </w:rPr>
        <w:t xml:space="preserve"> obujma imovine:</w:t>
      </w:r>
    </w:p>
    <w:p w14:paraId="7519A569" w14:textId="77777777" w:rsidR="0004412D" w:rsidRDefault="0004412D" w:rsidP="0004412D">
      <w:pPr>
        <w:pStyle w:val="Tijeloteksta2"/>
        <w:ind w:firstLine="708"/>
        <w:rPr>
          <w:sz w:val="20"/>
          <w:szCs w:val="20"/>
        </w:rPr>
      </w:pPr>
    </w:p>
    <w:p w14:paraId="73EB95D1" w14:textId="77777777" w:rsidR="0004412D" w:rsidRPr="005B4EE8" w:rsidRDefault="0004412D" w:rsidP="0004412D">
      <w:pPr>
        <w:numPr>
          <w:ilvl w:val="0"/>
          <w:numId w:val="1"/>
        </w:numPr>
        <w:ind w:left="360"/>
        <w:jc w:val="both"/>
        <w:rPr>
          <w:sz w:val="20"/>
          <w:szCs w:val="20"/>
        </w:rPr>
      </w:pPr>
      <w:proofErr w:type="spellStart"/>
      <w:r w:rsidRPr="005B4EE8">
        <w:rPr>
          <w:sz w:val="20"/>
          <w:szCs w:val="20"/>
        </w:rPr>
        <w:t>neproizvedena</w:t>
      </w:r>
      <w:proofErr w:type="spellEnd"/>
      <w:r w:rsidRPr="005B4EE8">
        <w:rPr>
          <w:sz w:val="20"/>
          <w:szCs w:val="20"/>
        </w:rPr>
        <w:t xml:space="preserve"> dugotrajna imovina pove</w:t>
      </w:r>
      <w:r>
        <w:rPr>
          <w:sz w:val="20"/>
          <w:szCs w:val="20"/>
        </w:rPr>
        <w:t>ć</w:t>
      </w:r>
      <w:r w:rsidRPr="005B4EE8">
        <w:rPr>
          <w:sz w:val="20"/>
          <w:szCs w:val="20"/>
        </w:rPr>
        <w:t>ala se  u iznosu od 15.000,00 kn  na osnovu Darovnog u</w:t>
      </w:r>
      <w:r>
        <w:rPr>
          <w:sz w:val="20"/>
          <w:szCs w:val="20"/>
        </w:rPr>
        <w:t>g</w:t>
      </w:r>
      <w:r w:rsidRPr="005B4EE8">
        <w:rPr>
          <w:sz w:val="20"/>
          <w:szCs w:val="20"/>
        </w:rPr>
        <w:t xml:space="preserve">ovora  (pravoslavno groblje </w:t>
      </w:r>
      <w:proofErr w:type="spellStart"/>
      <w:r w:rsidRPr="005B4EE8">
        <w:rPr>
          <w:sz w:val="20"/>
          <w:szCs w:val="20"/>
        </w:rPr>
        <w:t>Mikluševci</w:t>
      </w:r>
      <w:proofErr w:type="spellEnd"/>
      <w:r w:rsidRPr="005B4EE8">
        <w:rPr>
          <w:sz w:val="20"/>
          <w:szCs w:val="20"/>
        </w:rPr>
        <w:t xml:space="preserve"> k.č.795 k.o. </w:t>
      </w:r>
      <w:proofErr w:type="spellStart"/>
      <w:r w:rsidRPr="005B4EE8">
        <w:rPr>
          <w:sz w:val="20"/>
          <w:szCs w:val="20"/>
        </w:rPr>
        <w:t>Mikluševci</w:t>
      </w:r>
      <w:proofErr w:type="spellEnd"/>
      <w:r w:rsidRPr="005B4EE8">
        <w:rPr>
          <w:sz w:val="20"/>
          <w:szCs w:val="20"/>
        </w:rPr>
        <w:t xml:space="preserve"> ).</w:t>
      </w:r>
    </w:p>
    <w:p w14:paraId="2FDF69B0" w14:textId="77777777" w:rsidR="0004412D" w:rsidRPr="005B4EE8" w:rsidRDefault="0004412D" w:rsidP="0004412D">
      <w:pPr>
        <w:numPr>
          <w:ilvl w:val="0"/>
          <w:numId w:val="1"/>
        </w:numPr>
        <w:ind w:left="360"/>
        <w:jc w:val="both"/>
      </w:pPr>
      <w:r w:rsidRPr="005B4EE8">
        <w:rPr>
          <w:sz w:val="20"/>
          <w:szCs w:val="20"/>
        </w:rPr>
        <w:t xml:space="preserve">Proizvedena dugotrajna imovina povećala se za 89.550,00 kn (procijenjena vrijednost) na osnovu Darovnog ugovora  ( kuća i dvor </w:t>
      </w:r>
      <w:proofErr w:type="spellStart"/>
      <w:r w:rsidRPr="005B4EE8">
        <w:rPr>
          <w:sz w:val="20"/>
          <w:szCs w:val="20"/>
        </w:rPr>
        <w:t>k.č</w:t>
      </w:r>
      <w:proofErr w:type="spellEnd"/>
      <w:r w:rsidRPr="005B4EE8">
        <w:rPr>
          <w:sz w:val="20"/>
          <w:szCs w:val="20"/>
        </w:rPr>
        <w:t xml:space="preserve">. 770 i712 k.o. </w:t>
      </w:r>
      <w:proofErr w:type="spellStart"/>
      <w:r w:rsidRPr="005B4EE8">
        <w:rPr>
          <w:sz w:val="20"/>
          <w:szCs w:val="20"/>
        </w:rPr>
        <w:t>Mikluševci</w:t>
      </w:r>
      <w:proofErr w:type="spellEnd"/>
      <w:r w:rsidRPr="005B4EE8">
        <w:rPr>
          <w:sz w:val="20"/>
          <w:szCs w:val="20"/>
        </w:rPr>
        <w:t>)</w:t>
      </w:r>
      <w:r w:rsidRPr="005B4EE8">
        <w:t xml:space="preserve"> </w:t>
      </w:r>
    </w:p>
    <w:p w14:paraId="28E65B08" w14:textId="77777777" w:rsidR="0004412D" w:rsidRPr="005B4EE8" w:rsidRDefault="0004412D" w:rsidP="0004412D">
      <w:pPr>
        <w:jc w:val="both"/>
      </w:pPr>
    </w:p>
    <w:p w14:paraId="283F106F" w14:textId="77777777" w:rsidR="0004412D" w:rsidRDefault="0004412D" w:rsidP="0004412D">
      <w:pPr>
        <w:jc w:val="both"/>
        <w:rPr>
          <w:color w:val="FF0000"/>
        </w:rPr>
      </w:pPr>
    </w:p>
    <w:p w14:paraId="16663397" w14:textId="0F9383E3" w:rsidR="0004412D" w:rsidRDefault="0004412D" w:rsidP="0004412D">
      <w:pPr>
        <w:jc w:val="both"/>
        <w:rPr>
          <w:color w:val="FF0000"/>
        </w:rPr>
      </w:pPr>
    </w:p>
    <w:p w14:paraId="29374474" w14:textId="77777777" w:rsidR="0004412D" w:rsidRDefault="0004412D" w:rsidP="0004412D">
      <w:pPr>
        <w:jc w:val="both"/>
        <w:rPr>
          <w:color w:val="FF0000"/>
        </w:rPr>
      </w:pPr>
      <w:bookmarkStart w:id="0" w:name="_GoBack"/>
      <w:bookmarkEnd w:id="0"/>
    </w:p>
    <w:p w14:paraId="69D5E359" w14:textId="77777777" w:rsidR="0004412D" w:rsidRDefault="0004412D" w:rsidP="0004412D">
      <w:pPr>
        <w:jc w:val="both"/>
        <w:rPr>
          <w:color w:val="FF0000"/>
        </w:rPr>
      </w:pPr>
    </w:p>
    <w:p w14:paraId="4D7FAFB6" w14:textId="77777777" w:rsidR="0004412D" w:rsidRPr="00F150BA" w:rsidRDefault="0004412D" w:rsidP="0004412D">
      <w:pPr>
        <w:jc w:val="both"/>
      </w:pPr>
    </w:p>
    <w:p w14:paraId="3684C5EA" w14:textId="77777777" w:rsidR="0004412D" w:rsidRPr="00F150BA" w:rsidRDefault="0004412D" w:rsidP="0004412D">
      <w:pPr>
        <w:pStyle w:val="Tijeloteksta"/>
        <w:jc w:val="center"/>
        <w:rPr>
          <w:sz w:val="20"/>
          <w:szCs w:val="20"/>
        </w:rPr>
      </w:pPr>
      <w:r w:rsidRPr="00F150BA">
        <w:rPr>
          <w:sz w:val="20"/>
          <w:szCs w:val="20"/>
        </w:rPr>
        <w:lastRenderedPageBreak/>
        <w:t>BILJEŠKA  UZ  BILANCU  ( OBRAZAC BIL )</w:t>
      </w:r>
    </w:p>
    <w:p w14:paraId="1EA971F5" w14:textId="77777777" w:rsidR="0004412D" w:rsidRPr="00F150BA" w:rsidRDefault="0004412D" w:rsidP="0004412D">
      <w:pPr>
        <w:ind w:left="1416"/>
        <w:rPr>
          <w:sz w:val="20"/>
          <w:szCs w:val="20"/>
        </w:rPr>
      </w:pPr>
      <w:r w:rsidRPr="00F150BA">
        <w:rPr>
          <w:sz w:val="20"/>
          <w:szCs w:val="20"/>
        </w:rPr>
        <w:t xml:space="preserve">                   Za  razdoblje siječanj –  prosinac  2019. godine</w:t>
      </w:r>
    </w:p>
    <w:p w14:paraId="65859693" w14:textId="77777777" w:rsidR="0004412D" w:rsidRPr="00F150BA" w:rsidRDefault="0004412D" w:rsidP="0004412D">
      <w:pPr>
        <w:tabs>
          <w:tab w:val="left" w:pos="2520"/>
        </w:tabs>
        <w:jc w:val="center"/>
        <w:rPr>
          <w:sz w:val="20"/>
          <w:szCs w:val="20"/>
        </w:rPr>
      </w:pPr>
    </w:p>
    <w:p w14:paraId="50EE65AF" w14:textId="77777777" w:rsidR="0004412D" w:rsidRPr="00F150BA" w:rsidRDefault="0004412D" w:rsidP="0004412D">
      <w:pPr>
        <w:jc w:val="both"/>
        <w:rPr>
          <w:sz w:val="20"/>
          <w:szCs w:val="20"/>
        </w:rPr>
      </w:pPr>
      <w:r w:rsidRPr="00F150BA">
        <w:rPr>
          <w:sz w:val="20"/>
          <w:szCs w:val="20"/>
        </w:rPr>
        <w:t>1. Ukupna vrijednost  imovine  (AOP 001 )  promijenila se  na dan 31. prosinca 2019. godine  u odnosu na stanje 01.siječnja 2019. godine,</w:t>
      </w:r>
    </w:p>
    <w:p w14:paraId="64BFD412" w14:textId="77777777" w:rsidR="0004412D" w:rsidRPr="00F150BA" w:rsidRDefault="0004412D" w:rsidP="0004412D">
      <w:pPr>
        <w:jc w:val="both"/>
        <w:rPr>
          <w:sz w:val="20"/>
          <w:szCs w:val="20"/>
        </w:rPr>
      </w:pPr>
      <w:r w:rsidRPr="00F150BA">
        <w:rPr>
          <w:sz w:val="20"/>
          <w:szCs w:val="20"/>
        </w:rPr>
        <w:t>2. Za ispravak vrijednosti korištene su stope propisane Pravilnikom o proračunskom računovodstvu i računskom planu (NN  br.124/14, 115/15, 87/16 i 3/18).</w:t>
      </w:r>
    </w:p>
    <w:p w14:paraId="2E37AD27" w14:textId="77777777" w:rsidR="0004412D" w:rsidRPr="00F150BA" w:rsidRDefault="0004412D" w:rsidP="0004412D">
      <w:pPr>
        <w:jc w:val="both"/>
        <w:rPr>
          <w:sz w:val="20"/>
          <w:szCs w:val="20"/>
        </w:rPr>
      </w:pPr>
    </w:p>
    <w:p w14:paraId="28FA7940" w14:textId="77777777" w:rsidR="0004412D" w:rsidRDefault="0004412D" w:rsidP="0004412D">
      <w:pPr>
        <w:pStyle w:val="Tijeloteksta2"/>
        <w:rPr>
          <w:sz w:val="20"/>
          <w:szCs w:val="20"/>
        </w:rPr>
      </w:pPr>
      <w:r w:rsidRPr="006C3635">
        <w:rPr>
          <w:sz w:val="20"/>
          <w:szCs w:val="20"/>
        </w:rPr>
        <w:t>3. Iskazana odstupanja u odnosu na stanje 01.siječnja navedena su na slijedećim pozicijama:</w:t>
      </w:r>
    </w:p>
    <w:p w14:paraId="2C0A5C0D" w14:textId="77777777" w:rsidR="0004412D" w:rsidRPr="00EF52BB" w:rsidRDefault="0004412D" w:rsidP="0004412D">
      <w:pPr>
        <w:pStyle w:val="Tijeloteksta2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7A235C" w14:textId="77777777" w:rsidR="0004412D" w:rsidRPr="00EF52BB" w:rsidRDefault="0004412D" w:rsidP="0004412D">
      <w:pPr>
        <w:pStyle w:val="Tijeloteksta2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materijalna imovina (AOP 004)</w:t>
      </w:r>
    </w:p>
    <w:p w14:paraId="7CAB4295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stambeni objekti (AOP 009)</w:t>
      </w:r>
    </w:p>
    <w:p w14:paraId="512636E1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6C3635">
        <w:rPr>
          <w:sz w:val="20"/>
          <w:szCs w:val="20"/>
        </w:rPr>
        <w:t>poslovni objekti (AOP 010 )</w:t>
      </w:r>
    </w:p>
    <w:p w14:paraId="42142D2E" w14:textId="77777777" w:rsidR="0004412D" w:rsidRPr="006C3635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6C3635">
        <w:rPr>
          <w:sz w:val="20"/>
          <w:szCs w:val="20"/>
        </w:rPr>
        <w:t>ceste, željeznice i ostali prometni objekti (AOP 011)</w:t>
      </w:r>
    </w:p>
    <w:p w14:paraId="1B161694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uredska oprema i namještaj (AOP 015)</w:t>
      </w:r>
    </w:p>
    <w:p w14:paraId="396CEF94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komunikacijska oprema (AOP  016)</w:t>
      </w:r>
    </w:p>
    <w:p w14:paraId="232FC301" w14:textId="77777777" w:rsidR="0004412D" w:rsidRPr="00AE3FF7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oprema za održavanje i zaštitu (AOP 017)</w:t>
      </w:r>
    </w:p>
    <w:p w14:paraId="7A58C6B7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FD0D0A">
        <w:rPr>
          <w:sz w:val="20"/>
          <w:szCs w:val="20"/>
        </w:rPr>
        <w:t>uređaji, strojevi i oprema za ostale namjene (AOP 021)</w:t>
      </w:r>
    </w:p>
    <w:p w14:paraId="3ACC5404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ulaganje u računalne programe (AOP 042)</w:t>
      </w:r>
    </w:p>
    <w:p w14:paraId="4BBFE8E8" w14:textId="77777777" w:rsidR="0004412D" w:rsidRPr="0033251C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6C3635">
        <w:rPr>
          <w:sz w:val="20"/>
          <w:szCs w:val="20"/>
        </w:rPr>
        <w:t>Ostala nematerijalna imovina (AOP 044)</w:t>
      </w:r>
    </w:p>
    <w:p w14:paraId="1C56E2C0" w14:textId="77777777" w:rsidR="0004412D" w:rsidRPr="006C3635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6C3635">
        <w:rPr>
          <w:sz w:val="20"/>
          <w:szCs w:val="20"/>
        </w:rPr>
        <w:t xml:space="preserve">potraživanja  za prihode poslovanja (AOP 140) </w:t>
      </w:r>
    </w:p>
    <w:p w14:paraId="4C45AAC1" w14:textId="77777777" w:rsidR="0004412D" w:rsidRPr="006C3635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6C3635">
        <w:rPr>
          <w:sz w:val="20"/>
          <w:szCs w:val="20"/>
        </w:rPr>
        <w:t>potraživanja od prodaje nefinancijske imovine (AOP 157)</w:t>
      </w:r>
    </w:p>
    <w:p w14:paraId="27B48123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6C3635">
        <w:rPr>
          <w:sz w:val="20"/>
          <w:szCs w:val="20"/>
        </w:rPr>
        <w:t xml:space="preserve">obveze </w:t>
      </w:r>
      <w:r>
        <w:rPr>
          <w:sz w:val="20"/>
          <w:szCs w:val="20"/>
        </w:rPr>
        <w:t xml:space="preserve"> za rashode  poslovanja (AOP 164</w:t>
      </w:r>
      <w:r w:rsidRPr="006C3635">
        <w:rPr>
          <w:sz w:val="20"/>
          <w:szCs w:val="20"/>
        </w:rPr>
        <w:t>)</w:t>
      </w:r>
    </w:p>
    <w:p w14:paraId="52CAD915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obveze za nabavu nefinancijske imovine (AOP 175)</w:t>
      </w:r>
    </w:p>
    <w:p w14:paraId="4AF6CB67" w14:textId="77777777" w:rsidR="0004412D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izvan bilančni zapisi (AOP 244)</w:t>
      </w:r>
    </w:p>
    <w:p w14:paraId="78E600E9" w14:textId="77777777" w:rsidR="0004412D" w:rsidRDefault="0004412D" w:rsidP="0004412D">
      <w:pPr>
        <w:pStyle w:val="Tijeloteksta2"/>
        <w:ind w:left="1770"/>
        <w:rPr>
          <w:sz w:val="20"/>
          <w:szCs w:val="20"/>
        </w:rPr>
      </w:pPr>
    </w:p>
    <w:p w14:paraId="2ABDEA53" w14:textId="77777777" w:rsidR="0004412D" w:rsidRPr="006C3635" w:rsidRDefault="0004412D" w:rsidP="0004412D">
      <w:pPr>
        <w:pStyle w:val="Tijeloteksta2"/>
        <w:ind w:left="1770"/>
        <w:rPr>
          <w:sz w:val="20"/>
          <w:szCs w:val="20"/>
        </w:rPr>
      </w:pPr>
    </w:p>
    <w:p w14:paraId="52D33969" w14:textId="77777777" w:rsidR="0004412D" w:rsidRDefault="0004412D" w:rsidP="0004412D">
      <w:pPr>
        <w:pStyle w:val="Tijeloteksta2"/>
        <w:rPr>
          <w:sz w:val="20"/>
          <w:szCs w:val="20"/>
        </w:rPr>
      </w:pPr>
    </w:p>
    <w:p w14:paraId="0C4E4106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 xml:space="preserve">3.a) Na poziciji materijalna imovina došlo je do povećanja imovine temeljem darovnog ugovora </w:t>
      </w:r>
    </w:p>
    <w:p w14:paraId="3121286C" w14:textId="77777777" w:rsidR="0004412D" w:rsidRDefault="0004412D" w:rsidP="0004412D">
      <w:pPr>
        <w:pStyle w:val="Tijeloteksta2"/>
        <w:rPr>
          <w:sz w:val="20"/>
          <w:szCs w:val="20"/>
        </w:rPr>
      </w:pPr>
    </w:p>
    <w:p w14:paraId="60187546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3.b</w:t>
      </w:r>
      <w:r w:rsidRPr="006C3635">
        <w:rPr>
          <w:sz w:val="20"/>
          <w:szCs w:val="20"/>
        </w:rPr>
        <w:t>)</w:t>
      </w:r>
      <w:r>
        <w:rPr>
          <w:sz w:val="20"/>
          <w:szCs w:val="20"/>
        </w:rPr>
        <w:t xml:space="preserve"> Stambeni objekti povećali su se na osnovu darovnog ugovora</w:t>
      </w:r>
    </w:p>
    <w:p w14:paraId="2557E78E" w14:textId="77777777" w:rsidR="0004412D" w:rsidRDefault="0004412D" w:rsidP="0004412D">
      <w:pPr>
        <w:pStyle w:val="Tijeloteksta2"/>
        <w:rPr>
          <w:sz w:val="20"/>
          <w:szCs w:val="20"/>
        </w:rPr>
      </w:pPr>
    </w:p>
    <w:p w14:paraId="385B065B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3.c)</w:t>
      </w:r>
      <w:r w:rsidRPr="006C3635">
        <w:rPr>
          <w:sz w:val="20"/>
          <w:szCs w:val="20"/>
        </w:rPr>
        <w:t xml:space="preserve"> Na poziciji poslovni objekti došlo je do povećanja zbog </w:t>
      </w:r>
      <w:r>
        <w:rPr>
          <w:sz w:val="20"/>
          <w:szCs w:val="20"/>
        </w:rPr>
        <w:t>rekonstrukcije zgrade za javne inicijative, energetske obnove Doma kulture Čakovci</w:t>
      </w:r>
    </w:p>
    <w:p w14:paraId="170FADBF" w14:textId="77777777" w:rsidR="0004412D" w:rsidRPr="006C3635" w:rsidRDefault="0004412D" w:rsidP="0004412D">
      <w:pPr>
        <w:pStyle w:val="Tijeloteksta2"/>
        <w:rPr>
          <w:sz w:val="20"/>
          <w:szCs w:val="20"/>
        </w:rPr>
      </w:pPr>
    </w:p>
    <w:p w14:paraId="4F894650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3.d</w:t>
      </w:r>
      <w:r w:rsidRPr="006C3635">
        <w:rPr>
          <w:sz w:val="20"/>
          <w:szCs w:val="20"/>
        </w:rPr>
        <w:t xml:space="preserve">) Ceste, željeznice i ostali prometni objekti povećani su zbog </w:t>
      </w:r>
      <w:r>
        <w:rPr>
          <w:sz w:val="20"/>
          <w:szCs w:val="20"/>
        </w:rPr>
        <w:t xml:space="preserve">rekonstrukcije cesta i parkirališta prema nogometnom igralištu u  </w:t>
      </w:r>
      <w:proofErr w:type="spellStart"/>
      <w:r>
        <w:rPr>
          <w:sz w:val="20"/>
          <w:szCs w:val="20"/>
        </w:rPr>
        <w:t>Berku</w:t>
      </w:r>
      <w:proofErr w:type="spellEnd"/>
      <w:r>
        <w:rPr>
          <w:sz w:val="20"/>
          <w:szCs w:val="20"/>
        </w:rPr>
        <w:t xml:space="preserve">,  odvojak prama Radićevoj ulici u Beku spoj ulice </w:t>
      </w:r>
      <w:proofErr w:type="spellStart"/>
      <w:r>
        <w:rPr>
          <w:sz w:val="20"/>
          <w:szCs w:val="20"/>
        </w:rPr>
        <w:t>Z.Batakovića</w:t>
      </w:r>
      <w:proofErr w:type="spellEnd"/>
      <w:r>
        <w:rPr>
          <w:sz w:val="20"/>
          <w:szCs w:val="20"/>
        </w:rPr>
        <w:t xml:space="preserve"> i 204. Brigade </w:t>
      </w:r>
      <w:proofErr w:type="spellStart"/>
      <w:r>
        <w:rPr>
          <w:sz w:val="20"/>
          <w:szCs w:val="20"/>
        </w:rPr>
        <w:t>Mikluševci</w:t>
      </w:r>
      <w:proofErr w:type="spellEnd"/>
      <w:r>
        <w:rPr>
          <w:sz w:val="20"/>
          <w:szCs w:val="20"/>
        </w:rPr>
        <w:t xml:space="preserve">, izgradnje parkirališta u ulici A.G. Matoša 9 i školskoj ulici u </w:t>
      </w:r>
      <w:proofErr w:type="spellStart"/>
      <w:r>
        <w:rPr>
          <w:sz w:val="20"/>
          <w:szCs w:val="20"/>
        </w:rPr>
        <w:t>Tompojevcima</w:t>
      </w:r>
      <w:proofErr w:type="spellEnd"/>
      <w:r>
        <w:rPr>
          <w:sz w:val="20"/>
          <w:szCs w:val="20"/>
        </w:rPr>
        <w:t>.</w:t>
      </w:r>
      <w:r w:rsidRPr="006C3635">
        <w:rPr>
          <w:sz w:val="20"/>
          <w:szCs w:val="20"/>
        </w:rPr>
        <w:t>.</w:t>
      </w:r>
    </w:p>
    <w:p w14:paraId="605B414E" w14:textId="77777777" w:rsidR="0004412D" w:rsidRPr="006C3635" w:rsidRDefault="0004412D" w:rsidP="0004412D">
      <w:pPr>
        <w:pStyle w:val="Tijeloteksta2"/>
        <w:rPr>
          <w:sz w:val="20"/>
          <w:szCs w:val="20"/>
        </w:rPr>
      </w:pPr>
    </w:p>
    <w:p w14:paraId="27E529CD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 xml:space="preserve">3.e) Uredska oprema i namještaj kupljena je informatička oprema, uredski namještaj, namještaj za opremanje domova kulture u </w:t>
      </w:r>
      <w:proofErr w:type="spellStart"/>
      <w:r>
        <w:rPr>
          <w:sz w:val="20"/>
          <w:szCs w:val="20"/>
        </w:rPr>
        <w:t>Berku</w:t>
      </w:r>
      <w:proofErr w:type="spellEnd"/>
      <w:r>
        <w:rPr>
          <w:sz w:val="20"/>
          <w:szCs w:val="20"/>
        </w:rPr>
        <w:t xml:space="preserve">, Čakovcima i </w:t>
      </w:r>
      <w:proofErr w:type="spellStart"/>
      <w:r>
        <w:rPr>
          <w:sz w:val="20"/>
          <w:szCs w:val="20"/>
        </w:rPr>
        <w:t>Tompojevcima</w:t>
      </w:r>
      <w:proofErr w:type="spellEnd"/>
      <w:r>
        <w:rPr>
          <w:sz w:val="20"/>
          <w:szCs w:val="20"/>
        </w:rPr>
        <w:t>.</w:t>
      </w:r>
    </w:p>
    <w:p w14:paraId="1D81567F" w14:textId="77777777" w:rsidR="0004412D" w:rsidRDefault="0004412D" w:rsidP="0004412D">
      <w:pPr>
        <w:pStyle w:val="Tijeloteksta2"/>
        <w:rPr>
          <w:sz w:val="20"/>
          <w:szCs w:val="20"/>
        </w:rPr>
      </w:pPr>
    </w:p>
    <w:p w14:paraId="05E00262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</w:t>
      </w:r>
      <w:r w:rsidRPr="006C3635">
        <w:rPr>
          <w:sz w:val="20"/>
          <w:szCs w:val="20"/>
        </w:rPr>
        <w:t>.</w:t>
      </w:r>
      <w:r>
        <w:rPr>
          <w:sz w:val="20"/>
          <w:szCs w:val="20"/>
        </w:rPr>
        <w:t>f) Komunikacijska oprema odnosi se na ozvučenje i razglas u domu Bokšić</w:t>
      </w:r>
    </w:p>
    <w:p w14:paraId="7DC81E93" w14:textId="77777777" w:rsidR="0004412D" w:rsidRDefault="0004412D" w:rsidP="0004412D">
      <w:pPr>
        <w:pStyle w:val="Tijeloteksta2"/>
        <w:rPr>
          <w:sz w:val="20"/>
          <w:szCs w:val="20"/>
        </w:rPr>
      </w:pPr>
    </w:p>
    <w:p w14:paraId="0149D75B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3.g) oprema za održavanje i zaštitu odnose se na kupovinu kontejnera za animalni otpad</w:t>
      </w:r>
    </w:p>
    <w:p w14:paraId="08D76B8B" w14:textId="77777777" w:rsidR="0004412D" w:rsidRPr="006C3635" w:rsidRDefault="0004412D" w:rsidP="0004412D">
      <w:pPr>
        <w:pStyle w:val="Tijeloteksta2"/>
        <w:rPr>
          <w:sz w:val="20"/>
          <w:szCs w:val="20"/>
        </w:rPr>
      </w:pPr>
    </w:p>
    <w:p w14:paraId="4B4570CA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3.h</w:t>
      </w:r>
      <w:r w:rsidRPr="006C3635">
        <w:rPr>
          <w:sz w:val="20"/>
          <w:szCs w:val="20"/>
        </w:rPr>
        <w:t xml:space="preserve">) </w:t>
      </w:r>
      <w:r>
        <w:rPr>
          <w:sz w:val="20"/>
          <w:szCs w:val="20"/>
        </w:rPr>
        <w:t>Ur</w:t>
      </w:r>
      <w:r w:rsidRPr="00FD0D0A">
        <w:rPr>
          <w:sz w:val="20"/>
          <w:szCs w:val="20"/>
        </w:rPr>
        <w:t>eđaji, strojevi i oprema za ostale namjene</w:t>
      </w:r>
      <w:r>
        <w:rPr>
          <w:sz w:val="20"/>
          <w:szCs w:val="20"/>
        </w:rPr>
        <w:t xml:space="preserve"> odnosi se na</w:t>
      </w:r>
      <w:r w:rsidRPr="00FD0D0A">
        <w:rPr>
          <w:sz w:val="20"/>
          <w:szCs w:val="20"/>
        </w:rPr>
        <w:t xml:space="preserve"> </w:t>
      </w:r>
      <w:r>
        <w:rPr>
          <w:sz w:val="20"/>
          <w:szCs w:val="20"/>
        </w:rPr>
        <w:t>kupovinu kosilice za održavanje javnih površina.</w:t>
      </w:r>
    </w:p>
    <w:p w14:paraId="4204CAB0" w14:textId="77777777" w:rsidR="0004412D" w:rsidRDefault="0004412D" w:rsidP="0004412D">
      <w:pPr>
        <w:pStyle w:val="Tijeloteksta2"/>
        <w:rPr>
          <w:sz w:val="20"/>
          <w:szCs w:val="20"/>
        </w:rPr>
      </w:pPr>
    </w:p>
    <w:p w14:paraId="4CE0A73D" w14:textId="77777777" w:rsidR="0004412D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3.i) Ulaganje u računalne programe tijekom godine se vršila nadogradnja knjigovodstvenog programa.</w:t>
      </w:r>
    </w:p>
    <w:p w14:paraId="617CBF2D" w14:textId="77777777" w:rsidR="0004412D" w:rsidRDefault="0004412D" w:rsidP="0004412D">
      <w:pPr>
        <w:pStyle w:val="Tijeloteksta2"/>
        <w:rPr>
          <w:sz w:val="20"/>
          <w:szCs w:val="20"/>
        </w:rPr>
      </w:pPr>
    </w:p>
    <w:p w14:paraId="09BF1065" w14:textId="77777777" w:rsidR="0004412D" w:rsidRPr="00674981" w:rsidRDefault="0004412D" w:rsidP="0004412D">
      <w:pPr>
        <w:jc w:val="both"/>
        <w:rPr>
          <w:sz w:val="20"/>
          <w:szCs w:val="20"/>
        </w:rPr>
      </w:pPr>
      <w:r>
        <w:rPr>
          <w:sz w:val="20"/>
          <w:szCs w:val="20"/>
        </w:rPr>
        <w:t>3.j</w:t>
      </w:r>
      <w:r w:rsidRPr="006C3635">
        <w:rPr>
          <w:sz w:val="20"/>
          <w:szCs w:val="20"/>
        </w:rPr>
        <w:t xml:space="preserve">) Ostala nematerijalna imovina povećana je zbog </w:t>
      </w:r>
      <w:r>
        <w:rPr>
          <w:sz w:val="20"/>
          <w:szCs w:val="20"/>
        </w:rPr>
        <w:t xml:space="preserve"> izrade  projektne dokumentacije za sportske svlačionice Tompojevci i </w:t>
      </w:r>
      <w:proofErr w:type="spellStart"/>
      <w:r>
        <w:rPr>
          <w:sz w:val="20"/>
          <w:szCs w:val="20"/>
        </w:rPr>
        <w:t>Mikluševci</w:t>
      </w:r>
      <w:proofErr w:type="spellEnd"/>
      <w:r>
        <w:rPr>
          <w:sz w:val="20"/>
          <w:szCs w:val="20"/>
        </w:rPr>
        <w:t xml:space="preserve">, izradu urbanističkog plana uređenja naselja </w:t>
      </w:r>
      <w:proofErr w:type="spellStart"/>
      <w:r>
        <w:rPr>
          <w:sz w:val="20"/>
          <w:szCs w:val="20"/>
        </w:rPr>
        <w:t>Tompojevaca</w:t>
      </w:r>
      <w:proofErr w:type="spellEnd"/>
      <w:r>
        <w:rPr>
          <w:sz w:val="20"/>
          <w:szCs w:val="20"/>
        </w:rPr>
        <w:t xml:space="preserve"> izrada projektne</w:t>
      </w:r>
      <w:r w:rsidRPr="0033251C">
        <w:rPr>
          <w:sz w:val="20"/>
          <w:szCs w:val="20"/>
        </w:rPr>
        <w:t xml:space="preserve"> </w:t>
      </w:r>
      <w:r>
        <w:rPr>
          <w:sz w:val="20"/>
          <w:szCs w:val="20"/>
        </w:rPr>
        <w:t>dokumentacije za vodovodnu mrežu u Čakovcima i spojni cjevovod  Čakovci- Bokšić</w:t>
      </w:r>
    </w:p>
    <w:p w14:paraId="01E4AD84" w14:textId="77777777" w:rsidR="0004412D" w:rsidRPr="0095045A" w:rsidRDefault="0004412D" w:rsidP="0004412D">
      <w:pPr>
        <w:pStyle w:val="Tijeloteksta2"/>
        <w:rPr>
          <w:sz w:val="20"/>
          <w:szCs w:val="20"/>
        </w:rPr>
      </w:pPr>
    </w:p>
    <w:p w14:paraId="3CE1449F" w14:textId="77777777" w:rsidR="0004412D" w:rsidRPr="0095045A" w:rsidRDefault="0004412D" w:rsidP="0004412D">
      <w:pPr>
        <w:pStyle w:val="Tijeloteksta2"/>
        <w:rPr>
          <w:sz w:val="20"/>
          <w:szCs w:val="20"/>
        </w:rPr>
      </w:pPr>
      <w:r w:rsidRPr="0095045A">
        <w:rPr>
          <w:sz w:val="20"/>
          <w:szCs w:val="20"/>
        </w:rPr>
        <w:t>3.</w:t>
      </w:r>
      <w:r>
        <w:rPr>
          <w:sz w:val="20"/>
          <w:szCs w:val="20"/>
        </w:rPr>
        <w:t>k</w:t>
      </w:r>
      <w:r w:rsidRPr="0095045A">
        <w:rPr>
          <w:sz w:val="20"/>
          <w:szCs w:val="20"/>
        </w:rPr>
        <w:t>). Potraživanja (AOP 140 ) odnose se na:</w:t>
      </w:r>
    </w:p>
    <w:p w14:paraId="29124CED" w14:textId="77777777" w:rsidR="0004412D" w:rsidRPr="006C3635" w:rsidRDefault="0004412D" w:rsidP="0004412D">
      <w:pPr>
        <w:pStyle w:val="Tijeloteksta2"/>
        <w:rPr>
          <w:sz w:val="20"/>
          <w:szCs w:val="20"/>
        </w:rPr>
      </w:pPr>
      <w:r w:rsidRPr="0095045A">
        <w:rPr>
          <w:sz w:val="20"/>
          <w:szCs w:val="20"/>
        </w:rPr>
        <w:t xml:space="preserve">       -   potraživanja za poreze</w:t>
      </w:r>
      <w:r w:rsidRPr="0095045A">
        <w:rPr>
          <w:sz w:val="20"/>
          <w:szCs w:val="20"/>
        </w:rPr>
        <w:tab/>
      </w:r>
      <w:r w:rsidRPr="0095045A">
        <w:rPr>
          <w:sz w:val="20"/>
          <w:szCs w:val="20"/>
        </w:rPr>
        <w:tab/>
      </w:r>
      <w:r w:rsidRPr="0095045A">
        <w:rPr>
          <w:sz w:val="20"/>
          <w:szCs w:val="20"/>
        </w:rPr>
        <w:tab/>
      </w:r>
      <w:r w:rsidRPr="0095045A">
        <w:rPr>
          <w:sz w:val="20"/>
          <w:szCs w:val="20"/>
        </w:rPr>
        <w:tab/>
      </w:r>
      <w:r w:rsidRPr="0095045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167.254,52</w:t>
      </w:r>
      <w:r w:rsidRPr="006C3635">
        <w:rPr>
          <w:sz w:val="20"/>
          <w:szCs w:val="20"/>
        </w:rPr>
        <w:t xml:space="preserve"> kn</w:t>
      </w:r>
    </w:p>
    <w:p w14:paraId="3E1DDD51" w14:textId="77777777" w:rsidR="0004412D" w:rsidRPr="006C3635" w:rsidRDefault="0004412D" w:rsidP="0004412D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6C3635">
        <w:rPr>
          <w:sz w:val="20"/>
          <w:szCs w:val="20"/>
        </w:rPr>
        <w:t>-   potraživanje za prihode o</w:t>
      </w:r>
      <w:r>
        <w:rPr>
          <w:sz w:val="20"/>
          <w:szCs w:val="20"/>
        </w:rPr>
        <w:t>d imovine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185.548,21 </w:t>
      </w:r>
      <w:r w:rsidRPr="006C3635">
        <w:rPr>
          <w:sz w:val="20"/>
          <w:szCs w:val="20"/>
        </w:rPr>
        <w:t>kn</w:t>
      </w:r>
    </w:p>
    <w:p w14:paraId="1AC02F44" w14:textId="77777777" w:rsidR="0004412D" w:rsidRDefault="0004412D" w:rsidP="0004412D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3635">
        <w:rPr>
          <w:sz w:val="20"/>
          <w:szCs w:val="20"/>
        </w:rPr>
        <w:t xml:space="preserve"> -   potraživanja za upravne i administrativne prist</w:t>
      </w:r>
      <w:r>
        <w:rPr>
          <w:sz w:val="20"/>
          <w:szCs w:val="20"/>
        </w:rPr>
        <w:t xml:space="preserve">ojbe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127.923,11</w:t>
      </w:r>
      <w:r w:rsidRPr="006C3635">
        <w:rPr>
          <w:sz w:val="20"/>
          <w:szCs w:val="20"/>
        </w:rPr>
        <w:t xml:space="preserve"> kn</w:t>
      </w:r>
    </w:p>
    <w:p w14:paraId="59E1F814" w14:textId="77777777" w:rsidR="0004412D" w:rsidRDefault="0004412D" w:rsidP="0004412D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3635">
        <w:rPr>
          <w:sz w:val="20"/>
          <w:szCs w:val="20"/>
        </w:rPr>
        <w:t xml:space="preserve"> -   potraživanja za kazne i upravne mjere, te ost</w:t>
      </w:r>
      <w:r>
        <w:rPr>
          <w:sz w:val="20"/>
          <w:szCs w:val="20"/>
        </w:rPr>
        <w:t xml:space="preserve">ale prihode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98.510,98</w:t>
      </w:r>
      <w:r w:rsidRPr="006C3635">
        <w:rPr>
          <w:sz w:val="20"/>
          <w:szCs w:val="20"/>
        </w:rPr>
        <w:t xml:space="preserve"> kn</w:t>
      </w:r>
    </w:p>
    <w:p w14:paraId="4CF6EFD5" w14:textId="77777777" w:rsidR="0004412D" w:rsidRDefault="0004412D" w:rsidP="0004412D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-   napravljen je ispravak vrijednosti potraživanja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-112.688,65 kn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5B8CAE" w14:textId="77777777" w:rsidR="0004412D" w:rsidRPr="006C3635" w:rsidRDefault="0004412D" w:rsidP="0004412D">
      <w:pPr>
        <w:pStyle w:val="Tijeloteksta3"/>
        <w:jc w:val="both"/>
        <w:rPr>
          <w:sz w:val="20"/>
          <w:szCs w:val="20"/>
        </w:rPr>
      </w:pPr>
    </w:p>
    <w:p w14:paraId="2B30C1EF" w14:textId="77777777" w:rsidR="0004412D" w:rsidRDefault="0004412D" w:rsidP="0004412D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>3.l</w:t>
      </w:r>
      <w:r w:rsidRPr="006C3635">
        <w:rPr>
          <w:sz w:val="20"/>
          <w:szCs w:val="20"/>
        </w:rPr>
        <w:t xml:space="preserve">) Potraživanja (AOP 157) odnose se na prodaju poljoprivrednog zemljišta u vlasništvu RH ( rok otplate dvadeset godina) </w:t>
      </w:r>
      <w:r>
        <w:rPr>
          <w:sz w:val="20"/>
          <w:szCs w:val="20"/>
        </w:rPr>
        <w:t>u iznosu od 1.311.737,46</w:t>
      </w:r>
      <w:r w:rsidRPr="006C3635">
        <w:rPr>
          <w:sz w:val="20"/>
          <w:szCs w:val="20"/>
        </w:rPr>
        <w:t xml:space="preserve"> kn.</w:t>
      </w:r>
    </w:p>
    <w:p w14:paraId="088CB5AF" w14:textId="77777777" w:rsidR="0004412D" w:rsidRPr="006C3635" w:rsidRDefault="0004412D" w:rsidP="0004412D">
      <w:pPr>
        <w:pStyle w:val="Tijeloteksta3"/>
        <w:jc w:val="both"/>
        <w:rPr>
          <w:sz w:val="20"/>
          <w:szCs w:val="20"/>
        </w:rPr>
      </w:pPr>
    </w:p>
    <w:p w14:paraId="1922B578" w14:textId="77777777" w:rsidR="0004412D" w:rsidRPr="006C3635" w:rsidRDefault="0004412D" w:rsidP="0004412D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 m</w:t>
      </w:r>
      <w:r w:rsidRPr="006C3635">
        <w:rPr>
          <w:sz w:val="20"/>
          <w:szCs w:val="20"/>
        </w:rPr>
        <w:t>). Obveze  (AOP 163 )  odnose se na:</w:t>
      </w:r>
    </w:p>
    <w:p w14:paraId="63988D97" w14:textId="77777777" w:rsidR="0004412D" w:rsidRPr="006C3635" w:rsidRDefault="0004412D" w:rsidP="0004412D">
      <w:pPr>
        <w:pStyle w:val="Tijeloteksta2"/>
        <w:ind w:firstLine="360"/>
        <w:rPr>
          <w:sz w:val="20"/>
          <w:szCs w:val="20"/>
        </w:rPr>
      </w:pPr>
      <w:r>
        <w:rPr>
          <w:sz w:val="20"/>
          <w:szCs w:val="20"/>
        </w:rPr>
        <w:t>- Obveze za zaposlene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112.077,96</w:t>
      </w:r>
      <w:r w:rsidRPr="006C3635">
        <w:rPr>
          <w:sz w:val="20"/>
          <w:szCs w:val="20"/>
        </w:rPr>
        <w:t xml:space="preserve"> kn</w:t>
      </w:r>
    </w:p>
    <w:p w14:paraId="6E7CC141" w14:textId="77777777" w:rsidR="0004412D" w:rsidRPr="006C3635" w:rsidRDefault="0004412D" w:rsidP="0004412D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>- Obveze za materijalne rashode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 xml:space="preserve">   50.213,71</w:t>
      </w:r>
      <w:r w:rsidRPr="006C3635">
        <w:rPr>
          <w:rFonts w:ascii="Times New Roman" w:hAnsi="Times New Roman"/>
          <w:sz w:val="20"/>
          <w:szCs w:val="20"/>
        </w:rPr>
        <w:t xml:space="preserve"> kn</w:t>
      </w:r>
    </w:p>
    <w:p w14:paraId="430ECDEE" w14:textId="77777777" w:rsidR="0004412D" w:rsidRPr="006C3635" w:rsidRDefault="0004412D" w:rsidP="0004412D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>- Obveze za financijske rashode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C363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215,30</w:t>
      </w:r>
      <w:r w:rsidRPr="006C3635">
        <w:rPr>
          <w:rFonts w:ascii="Times New Roman" w:hAnsi="Times New Roman"/>
          <w:sz w:val="20"/>
          <w:szCs w:val="20"/>
        </w:rPr>
        <w:t xml:space="preserve"> kn</w:t>
      </w:r>
    </w:p>
    <w:p w14:paraId="29FEEBEB" w14:textId="77777777" w:rsidR="0004412D" w:rsidRPr="006C3635" w:rsidRDefault="0004412D" w:rsidP="0004412D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 xml:space="preserve">- Obveze za naknade građanima i kućanstvima        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70.930,00 </w:t>
      </w:r>
      <w:r w:rsidRPr="006C3635">
        <w:rPr>
          <w:rFonts w:ascii="Times New Roman" w:hAnsi="Times New Roman"/>
          <w:sz w:val="20"/>
          <w:szCs w:val="20"/>
        </w:rPr>
        <w:t xml:space="preserve">kn  </w:t>
      </w:r>
    </w:p>
    <w:p w14:paraId="33AD62A6" w14:textId="77777777" w:rsidR="0004412D" w:rsidRDefault="0004412D" w:rsidP="0004412D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>- Ostale tekuće obveze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262.497,68</w:t>
      </w:r>
      <w:r w:rsidRPr="006C3635">
        <w:rPr>
          <w:rFonts w:ascii="Times New Roman" w:hAnsi="Times New Roman"/>
          <w:sz w:val="20"/>
          <w:szCs w:val="20"/>
        </w:rPr>
        <w:t xml:space="preserve"> kn</w:t>
      </w:r>
      <w:r w:rsidRPr="006C3635">
        <w:rPr>
          <w:rFonts w:ascii="Times New Roman" w:hAnsi="Times New Roman"/>
          <w:sz w:val="20"/>
          <w:szCs w:val="20"/>
        </w:rPr>
        <w:tab/>
        <w:t xml:space="preserve">  </w:t>
      </w:r>
    </w:p>
    <w:p w14:paraId="1DAE50B3" w14:textId="77777777" w:rsidR="0004412D" w:rsidRDefault="0004412D" w:rsidP="0004412D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35AA710" w14:textId="77777777" w:rsidR="0004412D" w:rsidRPr="006C3635" w:rsidRDefault="0004412D" w:rsidP="0004412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3.n)</w:t>
      </w:r>
      <w:r w:rsidRPr="006C363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3635">
        <w:rPr>
          <w:rFonts w:ascii="Times New Roman" w:hAnsi="Times New Roman"/>
          <w:sz w:val="20"/>
          <w:szCs w:val="20"/>
        </w:rPr>
        <w:t>Obveze za nabavku nefinancijske imovine</w:t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</w:r>
      <w:r w:rsidRPr="006C3635"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221.337,05</w:t>
      </w:r>
      <w:r w:rsidRPr="006C3635">
        <w:rPr>
          <w:rFonts w:ascii="Times New Roman" w:hAnsi="Times New Roman"/>
          <w:sz w:val="20"/>
          <w:szCs w:val="20"/>
        </w:rPr>
        <w:t xml:space="preserve"> kn</w:t>
      </w:r>
    </w:p>
    <w:p w14:paraId="07C7E7F5" w14:textId="77777777" w:rsidR="0004412D" w:rsidRDefault="0004412D" w:rsidP="0004412D">
      <w:pPr>
        <w:pStyle w:val="Odlomakpopisa"/>
        <w:spacing w:after="0" w:line="240" w:lineRule="auto"/>
        <w:ind w:left="4248" w:hanging="3888"/>
        <w:jc w:val="both"/>
        <w:rPr>
          <w:rFonts w:ascii="Times New Roman" w:hAnsi="Times New Roman"/>
          <w:sz w:val="20"/>
          <w:szCs w:val="20"/>
        </w:rPr>
      </w:pPr>
      <w:r w:rsidRPr="006C3635">
        <w:rPr>
          <w:rFonts w:ascii="Times New Roman" w:hAnsi="Times New Roman"/>
          <w:sz w:val="20"/>
          <w:szCs w:val="20"/>
        </w:rPr>
        <w:t xml:space="preserve">            </w:t>
      </w:r>
      <w:r w:rsidRPr="006C3635">
        <w:rPr>
          <w:rFonts w:ascii="Times New Roman" w:hAnsi="Times New Roman"/>
          <w:sz w:val="20"/>
          <w:szCs w:val="20"/>
          <w:u w:val="single"/>
        </w:rPr>
        <w:t xml:space="preserve">                       </w:t>
      </w:r>
      <w:r w:rsidRPr="006C3635">
        <w:rPr>
          <w:rFonts w:ascii="Times New Roman" w:hAnsi="Times New Roman"/>
          <w:sz w:val="20"/>
          <w:szCs w:val="20"/>
        </w:rPr>
        <w:t xml:space="preserve">        </w:t>
      </w:r>
    </w:p>
    <w:p w14:paraId="1B1A5F00" w14:textId="77777777" w:rsidR="0004412D" w:rsidRDefault="0004412D" w:rsidP="0004412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3.o) Izvan bilančni zapisi (AOP 244) odnosi se na dane/vraćene bjanko zadužnice.</w:t>
      </w:r>
    </w:p>
    <w:p w14:paraId="5DBB30EE" w14:textId="77777777" w:rsidR="0004412D" w:rsidRPr="006C3635" w:rsidRDefault="0004412D" w:rsidP="0004412D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51018F" w14:textId="77777777" w:rsidR="0004412D" w:rsidRPr="006C3635" w:rsidRDefault="0004412D" w:rsidP="0004412D">
      <w:pPr>
        <w:pStyle w:val="Tijeloteksta3"/>
        <w:jc w:val="both"/>
        <w:rPr>
          <w:sz w:val="20"/>
          <w:szCs w:val="20"/>
        </w:rPr>
      </w:pPr>
      <w:r w:rsidRPr="006C3635">
        <w:rPr>
          <w:color w:val="FF0000"/>
          <w:sz w:val="20"/>
          <w:szCs w:val="20"/>
        </w:rPr>
        <w:t xml:space="preserve"> </w:t>
      </w:r>
      <w:r w:rsidRPr="006C3635">
        <w:rPr>
          <w:sz w:val="20"/>
          <w:szCs w:val="20"/>
        </w:rPr>
        <w:t>Višak prihoda i primitaka raspoloživ u sljedećem razdo</w:t>
      </w:r>
      <w:r>
        <w:rPr>
          <w:sz w:val="20"/>
          <w:szCs w:val="20"/>
        </w:rPr>
        <w:t xml:space="preserve">blju ( AOP 233) iznosi 3.050.047,58 </w:t>
      </w:r>
      <w:r w:rsidRPr="006C3635">
        <w:rPr>
          <w:sz w:val="20"/>
          <w:szCs w:val="20"/>
        </w:rPr>
        <w:t>kn.</w:t>
      </w:r>
    </w:p>
    <w:p w14:paraId="4BB5C8C1" w14:textId="77777777" w:rsidR="0004412D" w:rsidRPr="006C3635" w:rsidRDefault="0004412D" w:rsidP="0004412D">
      <w:pPr>
        <w:pStyle w:val="Tijeloteksta3"/>
        <w:jc w:val="both"/>
        <w:rPr>
          <w:sz w:val="20"/>
          <w:szCs w:val="20"/>
        </w:rPr>
      </w:pPr>
    </w:p>
    <w:p w14:paraId="17E36D0E" w14:textId="77777777" w:rsidR="0004412D" w:rsidRPr="006C3635" w:rsidRDefault="0004412D" w:rsidP="0004412D">
      <w:pPr>
        <w:pStyle w:val="Tijeloteksta3"/>
        <w:jc w:val="both"/>
        <w:rPr>
          <w:sz w:val="20"/>
          <w:szCs w:val="20"/>
        </w:rPr>
      </w:pPr>
    </w:p>
    <w:p w14:paraId="0ADB7CDE" w14:textId="77777777" w:rsidR="0004412D" w:rsidRPr="006C3635" w:rsidRDefault="0004412D" w:rsidP="0004412D">
      <w:pPr>
        <w:pStyle w:val="Tijeloteksta3"/>
        <w:jc w:val="both"/>
        <w:rPr>
          <w:sz w:val="20"/>
          <w:szCs w:val="20"/>
        </w:rPr>
      </w:pPr>
    </w:p>
    <w:p w14:paraId="21520EC4" w14:textId="77777777" w:rsidR="0004412D" w:rsidRPr="006C3635" w:rsidRDefault="0004412D" w:rsidP="0004412D">
      <w:pPr>
        <w:pStyle w:val="Tijeloteksta3"/>
        <w:jc w:val="both"/>
        <w:rPr>
          <w:sz w:val="20"/>
          <w:szCs w:val="20"/>
        </w:rPr>
      </w:pPr>
    </w:p>
    <w:p w14:paraId="640D3EEE" w14:textId="77777777" w:rsidR="0004412D" w:rsidRDefault="0004412D" w:rsidP="0004412D">
      <w:pPr>
        <w:pStyle w:val="Tijeloteksta3"/>
        <w:jc w:val="both"/>
        <w:rPr>
          <w:sz w:val="22"/>
          <w:szCs w:val="22"/>
        </w:rPr>
      </w:pPr>
    </w:p>
    <w:p w14:paraId="6B342678" w14:textId="77777777" w:rsidR="0004412D" w:rsidRDefault="0004412D" w:rsidP="0004412D">
      <w:pPr>
        <w:pStyle w:val="Tijeloteksta3"/>
        <w:jc w:val="both"/>
        <w:rPr>
          <w:sz w:val="22"/>
          <w:szCs w:val="22"/>
        </w:rPr>
      </w:pPr>
    </w:p>
    <w:p w14:paraId="4AB4CD05" w14:textId="77777777" w:rsidR="0004412D" w:rsidRDefault="0004412D" w:rsidP="0004412D">
      <w:pPr>
        <w:pStyle w:val="Tijeloteksta3"/>
        <w:jc w:val="both"/>
        <w:rPr>
          <w:sz w:val="22"/>
          <w:szCs w:val="22"/>
        </w:rPr>
      </w:pPr>
    </w:p>
    <w:p w14:paraId="152A035F" w14:textId="77777777" w:rsidR="0004412D" w:rsidRDefault="0004412D" w:rsidP="0004412D">
      <w:pPr>
        <w:pStyle w:val="Tijeloteksta3"/>
        <w:jc w:val="both"/>
        <w:rPr>
          <w:sz w:val="22"/>
          <w:szCs w:val="22"/>
        </w:rPr>
      </w:pPr>
    </w:p>
    <w:p w14:paraId="07D02317" w14:textId="77777777" w:rsidR="0004412D" w:rsidRDefault="0004412D" w:rsidP="0004412D">
      <w:pPr>
        <w:pStyle w:val="Tijeloteksta3"/>
        <w:jc w:val="both"/>
        <w:rPr>
          <w:sz w:val="22"/>
          <w:szCs w:val="22"/>
        </w:rPr>
      </w:pPr>
    </w:p>
    <w:p w14:paraId="56DED915" w14:textId="77777777" w:rsidR="0004412D" w:rsidRPr="00C70EB3" w:rsidRDefault="0004412D" w:rsidP="0004412D">
      <w:pPr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Bilješku sastavila                                                    </w:t>
      </w:r>
      <w:r w:rsidRPr="00C70EB3">
        <w:rPr>
          <w:sz w:val="20"/>
          <w:szCs w:val="20"/>
        </w:rPr>
        <w:tab/>
      </w:r>
      <w:r w:rsidRPr="00C70EB3">
        <w:rPr>
          <w:sz w:val="20"/>
          <w:szCs w:val="20"/>
        </w:rPr>
        <w:tab/>
      </w:r>
      <w:r w:rsidRPr="00C70EB3">
        <w:rPr>
          <w:sz w:val="20"/>
          <w:szCs w:val="20"/>
        </w:rPr>
        <w:tab/>
      </w:r>
    </w:p>
    <w:p w14:paraId="3E3AEF84" w14:textId="77777777" w:rsidR="0004412D" w:rsidRPr="00C70EB3" w:rsidRDefault="0004412D" w:rsidP="0004412D">
      <w:pPr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Marija Filipović                                                                         </w:t>
      </w:r>
    </w:p>
    <w:p w14:paraId="76038293" w14:textId="77777777" w:rsidR="0004412D" w:rsidRPr="00C70EB3" w:rsidRDefault="0004412D" w:rsidP="0004412D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Općinski načelnik</w:t>
      </w:r>
    </w:p>
    <w:p w14:paraId="7FB5499E" w14:textId="77777777" w:rsidR="0004412D" w:rsidRDefault="0004412D" w:rsidP="0004412D">
      <w:pPr>
        <w:ind w:left="5664"/>
        <w:jc w:val="both"/>
        <w:rPr>
          <w:sz w:val="20"/>
          <w:szCs w:val="20"/>
        </w:rPr>
      </w:pPr>
      <w:r w:rsidRPr="00C70EB3">
        <w:rPr>
          <w:sz w:val="20"/>
          <w:szCs w:val="20"/>
        </w:rPr>
        <w:t xml:space="preserve">           Zdravko </w:t>
      </w:r>
      <w:proofErr w:type="spellStart"/>
      <w:r w:rsidRPr="00C70EB3">
        <w:rPr>
          <w:sz w:val="20"/>
          <w:szCs w:val="20"/>
        </w:rPr>
        <w:t>Zvonarić</w:t>
      </w:r>
      <w:proofErr w:type="spellEnd"/>
    </w:p>
    <w:p w14:paraId="68D63B4A" w14:textId="77777777" w:rsidR="0004412D" w:rsidRDefault="0004412D" w:rsidP="0004412D">
      <w:pPr>
        <w:pStyle w:val="Tijeloteksta3"/>
        <w:jc w:val="both"/>
        <w:rPr>
          <w:sz w:val="22"/>
          <w:szCs w:val="22"/>
        </w:rPr>
      </w:pPr>
    </w:p>
    <w:p w14:paraId="7DAD80B0" w14:textId="77777777" w:rsidR="0004412D" w:rsidRDefault="0004412D" w:rsidP="0004412D">
      <w:pPr>
        <w:pStyle w:val="Tijeloteksta3"/>
        <w:jc w:val="both"/>
        <w:rPr>
          <w:sz w:val="22"/>
          <w:szCs w:val="22"/>
        </w:rPr>
      </w:pPr>
    </w:p>
    <w:p w14:paraId="042ED4FB" w14:textId="77777777" w:rsidR="0004412D" w:rsidRDefault="0004412D" w:rsidP="0004412D">
      <w:pPr>
        <w:pStyle w:val="Tijeloteksta3"/>
        <w:jc w:val="both"/>
        <w:rPr>
          <w:sz w:val="22"/>
          <w:szCs w:val="22"/>
        </w:rPr>
      </w:pPr>
    </w:p>
    <w:p w14:paraId="13AD4A2C" w14:textId="77777777" w:rsidR="0004412D" w:rsidRDefault="0004412D" w:rsidP="0004412D"/>
    <w:p w14:paraId="7A033B2B" w14:textId="77777777" w:rsidR="0004412D" w:rsidRDefault="0004412D" w:rsidP="0004412D"/>
    <w:p w14:paraId="6901E1DF" w14:textId="77777777" w:rsidR="0004412D" w:rsidRDefault="0004412D" w:rsidP="0004412D"/>
    <w:p w14:paraId="557CC199" w14:textId="77777777" w:rsidR="00867703" w:rsidRDefault="00867703"/>
    <w:sectPr w:rsidR="0086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3501"/>
    <w:multiLevelType w:val="hybridMultilevel"/>
    <w:tmpl w:val="55841670"/>
    <w:lvl w:ilvl="0" w:tplc="A9E091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4E0821"/>
    <w:multiLevelType w:val="hybridMultilevel"/>
    <w:tmpl w:val="2DF0B42E"/>
    <w:lvl w:ilvl="0" w:tplc="D270CA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8E"/>
    <w:rsid w:val="0004412D"/>
    <w:rsid w:val="001B7E8E"/>
    <w:rsid w:val="008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0E98"/>
  <w15:chartTrackingRefBased/>
  <w15:docId w15:val="{3BDAC80F-D63C-4EDF-9DC8-5C78101F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04412D"/>
    <w:pPr>
      <w:keepNext/>
      <w:jc w:val="center"/>
      <w:outlineLvl w:val="5"/>
    </w:pPr>
    <w:rPr>
      <w:sz w:val="28"/>
    </w:rPr>
  </w:style>
  <w:style w:type="paragraph" w:styleId="Naslov8">
    <w:name w:val="heading 8"/>
    <w:basedOn w:val="Normal"/>
    <w:next w:val="Normal"/>
    <w:link w:val="Naslov8Char"/>
    <w:qFormat/>
    <w:rsid w:val="0004412D"/>
    <w:pPr>
      <w:keepNext/>
      <w:jc w:val="center"/>
      <w:outlineLvl w:val="7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04412D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04412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04412D"/>
    <w:pPr>
      <w:jc w:val="both"/>
    </w:pPr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04412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04412D"/>
    <w:pPr>
      <w:jc w:val="both"/>
    </w:pPr>
    <w:rPr>
      <w:sz w:val="28"/>
    </w:rPr>
  </w:style>
  <w:style w:type="character" w:customStyle="1" w:styleId="Tijeloteksta2Char">
    <w:name w:val="Tijelo teksta 2 Char"/>
    <w:basedOn w:val="Zadanifontodlomka"/>
    <w:link w:val="Tijeloteksta2"/>
    <w:rsid w:val="0004412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rsid w:val="0004412D"/>
    <w:rPr>
      <w:sz w:val="28"/>
    </w:rPr>
  </w:style>
  <w:style w:type="character" w:customStyle="1" w:styleId="Tijeloteksta3Char">
    <w:name w:val="Tijelo teksta 3 Char"/>
    <w:basedOn w:val="Zadanifontodlomka"/>
    <w:link w:val="Tijeloteksta3"/>
    <w:rsid w:val="0004412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44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</cp:revision>
  <dcterms:created xsi:type="dcterms:W3CDTF">2020-02-13T13:06:00Z</dcterms:created>
  <dcterms:modified xsi:type="dcterms:W3CDTF">2020-02-13T13:06:00Z</dcterms:modified>
</cp:coreProperties>
</file>