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OPĆINA TOMPOJEVCI</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30.08.2018</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projektne dokumentacije za Spomen obilježje žrtvama stradalim u domovinskom ratu u naselju Bokšić</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URBANE TEHNIKE d.o.o. 52201457254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31,250.00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Nogostupi- sanacija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45213316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Gradnja Kožul 41701275360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24,127.91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6,031.98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30,159.89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81.59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14.71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96.30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Urbanistički plan naselja Tompojevci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71410000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PROSTORNO PLANIRANJE D.D. 78499807369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 od zadnje primljenog materijala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72.98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778.10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189.29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3,344.00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1,779.54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546.75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136.68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23.79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328.49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82.13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79.25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101.49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2,584.00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21.39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dječja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43325000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Z.Z. Sport j.d.o.o. 11083826419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9,975.00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129.41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26.47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35.63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 za program ZAŽELI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Tisak Našice d.o.o. vl. Mirko Bukvić 13365056271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30.04.2020.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30,284.74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7,571.19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37,855.93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30.08.2018 10:36</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