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CB" w:rsidRPr="00015386" w:rsidRDefault="00AC68E9" w:rsidP="00E92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NACRT ODLUKE O </w:t>
      </w:r>
      <w:r w:rsidR="00E2054A">
        <w:rPr>
          <w:rFonts w:ascii="Times New Roman" w:hAnsi="Times New Roman" w:cs="Times New Roman"/>
          <w:sz w:val="20"/>
          <w:szCs w:val="20"/>
        </w:rPr>
        <w:t>GODIŠNJ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2054A" w:rsidRPr="00015386">
        <w:rPr>
          <w:rFonts w:ascii="Times New Roman" w:hAnsi="Times New Roman" w:cs="Times New Roman"/>
          <w:sz w:val="20"/>
          <w:szCs w:val="20"/>
        </w:rPr>
        <w:t xml:space="preserve"> IZVJEŠTAJ</w:t>
      </w:r>
      <w:r>
        <w:rPr>
          <w:rFonts w:ascii="Times New Roman" w:hAnsi="Times New Roman" w:cs="Times New Roman"/>
          <w:sz w:val="20"/>
          <w:szCs w:val="20"/>
        </w:rPr>
        <w:t>U</w:t>
      </w:r>
      <w:r w:rsidR="00E2054A" w:rsidRPr="00015386">
        <w:rPr>
          <w:rFonts w:ascii="Times New Roman" w:hAnsi="Times New Roman" w:cs="Times New Roman"/>
          <w:sz w:val="20"/>
          <w:szCs w:val="20"/>
        </w:rPr>
        <w:t xml:space="preserve">  O IZVRŠENJU PRORAČUNA</w:t>
      </w:r>
    </w:p>
    <w:p w:rsidR="00E920CB" w:rsidRPr="00015386" w:rsidRDefault="00E2054A" w:rsidP="00E92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TOMPOJEVCI ZA 2017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E920CB" w:rsidRPr="00015386" w:rsidRDefault="00E920CB" w:rsidP="00E92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E920CB" w:rsidRPr="00015386" w:rsidRDefault="00E920CB" w:rsidP="00CC272E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015386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 2017</w:t>
      </w:r>
      <w:r w:rsidRPr="0001538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E920CB" w:rsidRPr="000C2DE0" w:rsidRDefault="00E920CB" w:rsidP="00E920CB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5.919.418,00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703" w:type="dxa"/>
          </w:tcPr>
          <w:p w:rsidR="00E920CB" w:rsidRPr="000C2DE0" w:rsidRDefault="00E920CB" w:rsidP="006559C8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5.093.034,90 kn</w:t>
            </w:r>
          </w:p>
        </w:tc>
        <w:tc>
          <w:tcPr>
            <w:tcW w:w="1559" w:type="dxa"/>
          </w:tcPr>
          <w:p w:rsidR="00E920CB" w:rsidRPr="004229DA" w:rsidRDefault="00E920CB" w:rsidP="006559C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86,04%</w:t>
            </w:r>
          </w:p>
        </w:tc>
      </w:tr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149.090,00 kn</w:t>
            </w:r>
          </w:p>
        </w:tc>
        <w:tc>
          <w:tcPr>
            <w:tcW w:w="1703" w:type="dxa"/>
          </w:tcPr>
          <w:p w:rsidR="00E920CB" w:rsidRPr="000C2DE0" w:rsidRDefault="00E920CB" w:rsidP="006559C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135.584,21 kn</w:t>
            </w:r>
          </w:p>
        </w:tc>
        <w:tc>
          <w:tcPr>
            <w:tcW w:w="1559" w:type="dxa"/>
          </w:tcPr>
          <w:p w:rsidR="00E920CB" w:rsidRPr="004229DA" w:rsidRDefault="00E920CB" w:rsidP="006559C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90,94%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6559C8">
        <w:tc>
          <w:tcPr>
            <w:tcW w:w="1809" w:type="dxa"/>
          </w:tcPr>
          <w:p w:rsidR="00E920CB" w:rsidRPr="005D7F34" w:rsidRDefault="00E920CB" w:rsidP="006559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6.068.509,00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5D7F34" w:rsidRDefault="00E920CB" w:rsidP="006559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5.228.619,11 kn</w:t>
            </w:r>
          </w:p>
        </w:tc>
        <w:tc>
          <w:tcPr>
            <w:tcW w:w="1525" w:type="dxa"/>
          </w:tcPr>
          <w:p w:rsidR="00E920CB" w:rsidRPr="004229DA" w:rsidRDefault="00E920CB" w:rsidP="006559C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  <w:bookmarkStart w:id="0" w:name="_GoBack"/>
      <w:bookmarkEnd w:id="0"/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2.935.399,00 kn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2.442.726,36 kn</w:t>
            </w:r>
          </w:p>
        </w:tc>
        <w:tc>
          <w:tcPr>
            <w:tcW w:w="1525" w:type="dxa"/>
          </w:tcPr>
          <w:p w:rsidR="00E920CB" w:rsidRPr="004229DA" w:rsidRDefault="00E920CB" w:rsidP="006559C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83,22%</w:t>
            </w:r>
          </w:p>
        </w:tc>
      </w:tr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3.133.110,00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E920CB" w:rsidRPr="000C2DE0" w:rsidRDefault="00E920CB" w:rsidP="00655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755.770,07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E920CB" w:rsidRPr="004229DA" w:rsidRDefault="00E920CB" w:rsidP="006559C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24,12</w:t>
            </w: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6559C8">
        <w:tc>
          <w:tcPr>
            <w:tcW w:w="1809" w:type="dxa"/>
          </w:tcPr>
          <w:p w:rsidR="00E920CB" w:rsidRPr="002B7239" w:rsidRDefault="00E920CB" w:rsidP="006559C8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6.068.509,00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2B7239" w:rsidRDefault="00E920CB" w:rsidP="006559C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3.198.496,43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E920CB" w:rsidRPr="002B7239" w:rsidRDefault="00E920CB" w:rsidP="006559C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52,71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4229DA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9DA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4229D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E920CB" w:rsidRPr="00015386" w:rsidTr="006559C8">
        <w:trPr>
          <w:trHeight w:val="346"/>
        </w:trPr>
        <w:tc>
          <w:tcPr>
            <w:tcW w:w="4253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0CB" w:rsidRDefault="00E920CB" w:rsidP="006559C8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2.030.122,68 kn</w:t>
            </w:r>
          </w:p>
          <w:p w:rsidR="00E920CB" w:rsidRPr="00015386" w:rsidRDefault="00E920CB" w:rsidP="00655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E920CB" w:rsidRPr="00015386" w:rsidRDefault="00E920CB" w:rsidP="006559C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E920CB" w:rsidRPr="004229DA" w:rsidRDefault="00E920CB" w:rsidP="006559C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E920CB" w:rsidRPr="00015386" w:rsidRDefault="00E920CB" w:rsidP="006559C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6559C8">
        <w:tc>
          <w:tcPr>
            <w:tcW w:w="4251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655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E920CB" w:rsidRPr="00015386" w:rsidTr="006559C8">
        <w:tc>
          <w:tcPr>
            <w:tcW w:w="4253" w:type="dxa"/>
          </w:tcPr>
          <w:p w:rsidR="00E920CB" w:rsidRPr="00015386" w:rsidRDefault="00E920CB" w:rsidP="0065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8" w:type="dxa"/>
          </w:tcPr>
          <w:p w:rsidR="00E920CB" w:rsidRPr="00015386" w:rsidRDefault="00E920CB" w:rsidP="00655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0CB" w:rsidRPr="004229DA" w:rsidRDefault="00E920CB" w:rsidP="0065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3.723.843,50</w:t>
            </w: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1524" w:type="dxa"/>
          </w:tcPr>
          <w:p w:rsidR="00E920CB" w:rsidRPr="00015386" w:rsidRDefault="00E920CB" w:rsidP="006559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Default="00E920CB" w:rsidP="00E920C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E920CB" w:rsidSect="00382E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ekonomskoj klasifikaciji</w:t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02"/>
        <w:gridCol w:w="3484"/>
        <w:gridCol w:w="1559"/>
        <w:gridCol w:w="1560"/>
        <w:gridCol w:w="1701"/>
        <w:gridCol w:w="1559"/>
        <w:gridCol w:w="1134"/>
        <w:gridCol w:w="1276"/>
      </w:tblGrid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95,72%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86,04%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16.231,84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24,91%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89,86%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3.228,47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111,40%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102,76%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13.003,37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3,44%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44,70%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3.018.205,04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103,21%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82,71%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1.311.600,50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132,17%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136,51%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1.111.600,50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124,47%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123,54%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175,00%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233,33%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1.706.604,54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27,47%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460.459,60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101,82%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1.246.144,94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5888,77%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818.257,25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101,36%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103,92%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5.044,73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52,90%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4.170,95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58,75%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873,78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47,16%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41,21%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813.212,52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101,79%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104,11%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154.389,17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107,55%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119,80%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654.016,30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99,04%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102,65%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4.710,15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297,54%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56,06%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propisima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330.703,73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83,54%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91,07%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112,61%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111,03%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100,17%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73,60%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71.704,22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72,97%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71,35%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650,82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337,84%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73,29%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67.187,60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74,12%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71,14%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3.865,80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8,43%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98,80%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212.409,51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80,73%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96,66%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11.995,86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154,32%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75,87%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200.413,65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76,33%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49,91%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6559C8">
        <w:trPr>
          <w:trHeight w:val="580"/>
        </w:trPr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76,02%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90,94%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bogastava</w:t>
            </w:r>
            <w:proofErr w:type="spellEnd"/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Tr="006559C8">
        <w:tc>
          <w:tcPr>
            <w:tcW w:w="1302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560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134" w:type="dxa"/>
          </w:tcPr>
          <w:p w:rsidR="00E920CB" w:rsidRPr="00040E1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6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4307"/>
        <w:gridCol w:w="1476"/>
        <w:gridCol w:w="1476"/>
        <w:gridCol w:w="1476"/>
        <w:gridCol w:w="1476"/>
        <w:gridCol w:w="1259"/>
        <w:gridCol w:w="1253"/>
      </w:tblGrid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43.710,90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130,35%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490.325,96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79,80%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90,64%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3.019.405,04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103,41%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82,74%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803.592,22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99,30%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104,40%</w:t>
            </w:r>
          </w:p>
        </w:tc>
      </w:tr>
      <w:tr w:rsidR="00E920CB" w:rsidRPr="00D1664D" w:rsidTr="006559C8">
        <w:tc>
          <w:tcPr>
            <w:tcW w:w="1560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279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3" w:type="dxa"/>
          </w:tcPr>
          <w:p w:rsidR="00E920CB" w:rsidRPr="00D1664D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C2FA3" w:rsidRDefault="00AC2FA3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C2FA3" w:rsidRDefault="00AC2FA3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C2FA3" w:rsidRDefault="00AC2FA3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AC2FA3" w:rsidRDefault="00AC2FA3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RASHODI I IZDACI</w:t>
      </w:r>
      <w:r>
        <w:rPr>
          <w:rFonts w:ascii="Times New Roman" w:hAnsi="Times New Roman"/>
          <w:b/>
          <w:color w:val="000000"/>
        </w:rPr>
        <w:t xml:space="preserve"> - prema ekonomskoj klasifikaciji</w:t>
      </w:r>
    </w:p>
    <w:p w:rsidR="00E920CB" w:rsidRPr="000367F9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595"/>
        <w:gridCol w:w="1741"/>
        <w:gridCol w:w="1762"/>
        <w:gridCol w:w="1550"/>
        <w:gridCol w:w="1155"/>
        <w:gridCol w:w="1062"/>
      </w:tblGrid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116,86%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83,22%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892.724,41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127.881,90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115.242,52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12.639,38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769.517,73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143,56%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68,20%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63.201,87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107,42%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91,46%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4.942,87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96,30%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47,60%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98,99%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103,79%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208,09%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77,86%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198.273,40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117,22%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90,09%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15.779,51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81,57%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67,74%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87,06%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152.405,50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91,58%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18.696,39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245,03%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95,24%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2.892,00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166,10%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67,66%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297.431,47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180,42%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59,93%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24.701,14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82,60%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78,47%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62.075,76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526,62%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53,31%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128,72%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77,76%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65.551,52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79,49%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64,41%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103,56%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69,42%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85.224,68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72,66%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86,21%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97,73%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3.866,65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190,24%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84,55%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180.836,48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135,90%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66,57%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za rad predstavničkih i izvršnih tijela,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povjerenstva i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slićno</w:t>
            </w:r>
            <w:proofErr w:type="spellEnd"/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131.609,05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150,76%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95,51%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103,13%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26.494,63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71,17%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71,67%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90,50%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64,60%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9.374,94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111,09%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8,95%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89,45%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89,45%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75,89%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91,20%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104,38%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30,22%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 izvan javnog sektora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poljoprivrednicima,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osiguranja i druge naknade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88,63%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88,63%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93,78%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93,12%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90,47%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141,74%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116,78%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24,12%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24,12%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2.482.300,69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25,66%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25,16%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7,70%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0,99%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129,74%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1.774.107,81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0,86%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45,85%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114.869,00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56,99%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69,83%</w:t>
            </w:r>
          </w:p>
        </w:tc>
        <w:tc>
          <w:tcPr>
            <w:tcW w:w="10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Tr="006559C8">
        <w:tc>
          <w:tcPr>
            <w:tcW w:w="124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9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41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62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0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E920CB" w:rsidRPr="00381743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68,23%</w:t>
            </w:r>
          </w:p>
        </w:tc>
        <w:tc>
          <w:tcPr>
            <w:tcW w:w="1062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7"/>
        <w:gridCol w:w="3865"/>
        <w:gridCol w:w="1703"/>
        <w:gridCol w:w="1703"/>
        <w:gridCol w:w="1703"/>
        <w:gridCol w:w="1543"/>
        <w:gridCol w:w="1057"/>
        <w:gridCol w:w="1057"/>
      </w:tblGrid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995.219,03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860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.122,88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86,12%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81,11%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35.071,77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162,46%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483.042,65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79,23%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88,66%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2.384.810,42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1.365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.003,56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57,11%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36,31%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789.366,56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533.659,51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67,61%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69,82%</w:t>
            </w:r>
          </w:p>
        </w:tc>
      </w:tr>
      <w:tr w:rsidR="00E920CB" w:rsidRPr="006E5DC2" w:rsidTr="006559C8">
        <w:tc>
          <w:tcPr>
            <w:tcW w:w="180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58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57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3.198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.496,43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68,23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2" w:type="dxa"/>
          </w:tcPr>
          <w:p w:rsidR="00E920CB" w:rsidRPr="006E5DC2" w:rsidRDefault="00E920CB" w:rsidP="006559C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52,71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E920CB" w:rsidRDefault="00E920CB" w:rsidP="00E920CB">
      <w:pPr>
        <w:widowControl w:val="0"/>
        <w:tabs>
          <w:tab w:val="left" w:pos="13096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prema </w:t>
      </w:r>
      <w:proofErr w:type="spellStart"/>
      <w:r>
        <w:rPr>
          <w:rFonts w:ascii="Times New Roman" w:hAnsi="Times New Roman"/>
          <w:b/>
          <w:color w:val="000000"/>
        </w:rPr>
        <w:t>finkcijskoj</w:t>
      </w:r>
      <w:proofErr w:type="spellEnd"/>
      <w:r>
        <w:rPr>
          <w:rFonts w:ascii="Times New Roman" w:hAnsi="Times New Roman"/>
          <w:b/>
          <w:color w:val="000000"/>
        </w:rPr>
        <w:t xml:space="preserve"> klasifikaciji</w:t>
      </w: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6"/>
        <w:gridCol w:w="3569"/>
        <w:gridCol w:w="1708"/>
        <w:gridCol w:w="1670"/>
        <w:gridCol w:w="1594"/>
        <w:gridCol w:w="1532"/>
        <w:gridCol w:w="1122"/>
        <w:gridCol w:w="1087"/>
      </w:tblGrid>
      <w:tr w:rsidR="00E920CB" w:rsidRPr="00B42186" w:rsidTr="006559C8">
        <w:tc>
          <w:tcPr>
            <w:tcW w:w="216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Brojčana oznaka funkcijske klasifikacije</w:t>
            </w:r>
          </w:p>
        </w:tc>
        <w:tc>
          <w:tcPr>
            <w:tcW w:w="4267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8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7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6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550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155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16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42186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7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6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B4218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 w:cs="Times New Roman"/>
              </w:rPr>
              <w:t>Opće javne usluge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1.202.646,03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1.247.025,00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1.247.025,00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1.137.940.28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94,61%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bCs/>
                <w:color w:val="FF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91,25%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Javni red i sigurnost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59.930,42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49.347,56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82,34%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62,65%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Ekonomski poslovi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907.287,12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3.119.430,00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3.119.430,00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868.744,29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95,75%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FF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27,84%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Zaštita okoliša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1.614.507,08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32.311,28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98,81%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Usluge unapređenja stanovanja i zajednice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365.589,19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1.129.934,00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1.129.934,00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806.482,51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220,60%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FF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71,37%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Rekreacija, kultura i religija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104.570,92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125.334,67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119,86%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94,49%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Obrazovanje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60.667,88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121,31%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7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0995">
              <w:rPr>
                <w:rFonts w:ascii="Times New Roman" w:hAnsi="Times New Roman"/>
              </w:rPr>
              <w:t>Socijalna zaštita</w:t>
            </w:r>
          </w:p>
        </w:tc>
        <w:tc>
          <w:tcPr>
            <w:tcW w:w="178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sz w:val="20"/>
                <w:szCs w:val="20"/>
              </w:rPr>
              <w:t>372.311,79</w:t>
            </w:r>
          </w:p>
        </w:tc>
        <w:tc>
          <w:tcPr>
            <w:tcW w:w="17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631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550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104.742,33</w:t>
            </w:r>
          </w:p>
        </w:tc>
        <w:tc>
          <w:tcPr>
            <w:tcW w:w="1155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28,13%</w:t>
            </w:r>
          </w:p>
        </w:tc>
        <w:tc>
          <w:tcPr>
            <w:tcW w:w="1116" w:type="dxa"/>
          </w:tcPr>
          <w:p w:rsidR="00E920CB" w:rsidRPr="00DB099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DB099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43,86%</w:t>
            </w:r>
          </w:p>
        </w:tc>
      </w:tr>
      <w:tr w:rsidR="00E920CB" w:rsidRPr="00B42186" w:rsidTr="006559C8">
        <w:tc>
          <w:tcPr>
            <w:tcW w:w="216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7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 New Roman" w:hAnsi="Times New Roman" w:cs="Times New Roman"/>
              </w:rPr>
            </w:pPr>
            <w:r w:rsidRPr="00B42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8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6.068.839,00</w:t>
            </w:r>
          </w:p>
        </w:tc>
        <w:tc>
          <w:tcPr>
            <w:tcW w:w="1631" w:type="dxa"/>
          </w:tcPr>
          <w:p w:rsidR="00E920CB" w:rsidRPr="00B42186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6.068.839,00</w:t>
            </w:r>
          </w:p>
        </w:tc>
        <w:tc>
          <w:tcPr>
            <w:tcW w:w="1550" w:type="dxa"/>
          </w:tcPr>
          <w:p w:rsidR="00E920CB" w:rsidRPr="00B0417B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7B">
              <w:rPr>
                <w:rFonts w:ascii="Times New Roman" w:hAnsi="Times New Roman" w:cs="Times New Roman"/>
                <w:b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E920CB" w:rsidRPr="000156E2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56E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68,23%</w:t>
            </w:r>
          </w:p>
        </w:tc>
        <w:tc>
          <w:tcPr>
            <w:tcW w:w="1116" w:type="dxa"/>
          </w:tcPr>
          <w:p w:rsidR="00E920CB" w:rsidRPr="000156E2" w:rsidRDefault="00E920CB" w:rsidP="006559C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</w:pPr>
            <w:r w:rsidRPr="000156E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52,71%</w:t>
            </w:r>
          </w:p>
        </w:tc>
      </w:tr>
    </w:tbl>
    <w:p w:rsidR="00E920CB" w:rsidRPr="00DB0995" w:rsidRDefault="00E920CB" w:rsidP="00E920CB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3496" w:after="0" w:line="240" w:lineRule="auto"/>
        <w:rPr>
          <w:rFonts w:ascii="Arial" w:hAnsi="Arial" w:cs="Arial"/>
          <w:sz w:val="24"/>
          <w:szCs w:val="24"/>
        </w:rPr>
        <w:sectPr w:rsidR="00E920CB" w:rsidRPr="00DB0995" w:rsidSect="00382E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B82D27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 </w:t>
      </w:r>
      <w:r w:rsidRPr="00B82D27">
        <w:rPr>
          <w:rFonts w:ascii="Times New Roman" w:hAnsi="Times New Roman"/>
          <w:b/>
        </w:rPr>
        <w:t>POSEBNI DIO</w:t>
      </w:r>
    </w:p>
    <w:p w:rsidR="00E920CB" w:rsidRPr="00B82D27" w:rsidRDefault="00E920CB" w:rsidP="00E920C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3154"/>
        <w:gridCol w:w="2552"/>
        <w:gridCol w:w="2551"/>
        <w:gridCol w:w="1701"/>
        <w:gridCol w:w="1701"/>
      </w:tblGrid>
      <w:tr w:rsidR="00E920CB" w:rsidRPr="0028740C" w:rsidTr="006559C8">
        <w:tc>
          <w:tcPr>
            <w:tcW w:w="1490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00201</w:t>
            </w: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54" w:type="dxa"/>
          </w:tcPr>
          <w:p w:rsidR="00E920CB" w:rsidRPr="00A63688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28740C" w:rsidTr="006559C8">
        <w:tc>
          <w:tcPr>
            <w:tcW w:w="14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154" w:type="dxa"/>
          </w:tcPr>
          <w:p w:rsidR="00E920CB" w:rsidRPr="00A63688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Tr="006559C8">
        <w:tc>
          <w:tcPr>
            <w:tcW w:w="1490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255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28740C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701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left" w:pos="1200"/>
          <w:tab w:val="right" w:pos="5807"/>
          <w:tab w:val="right" w:pos="7609"/>
          <w:tab w:val="right" w:pos="9422"/>
          <w:tab w:val="right" w:pos="10565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E920CB" w:rsidRPr="005254C9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A251B9" w:rsidRDefault="00E920CB" w:rsidP="00E920C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1B9">
        <w:rPr>
          <w:rFonts w:ascii="Arial" w:hAnsi="Arial" w:cs="Arial"/>
          <w:b/>
          <w:sz w:val="24"/>
          <w:szCs w:val="24"/>
        </w:rPr>
        <w:tab/>
      </w:r>
    </w:p>
    <w:p w:rsidR="00E920CB" w:rsidRDefault="00E920CB" w:rsidP="00E920CB"/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3E3A93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BC0D25">
        <w:rPr>
          <w:rFonts w:ascii="Times New Roman" w:hAnsi="Times New Roman"/>
          <w:b/>
        </w:rPr>
        <w:lastRenderedPageBreak/>
        <w:t>Izvršenje po programskoj klasifikaciji</w:t>
      </w: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19"/>
        <w:gridCol w:w="5071"/>
        <w:gridCol w:w="1985"/>
        <w:gridCol w:w="1701"/>
        <w:gridCol w:w="1701"/>
        <w:gridCol w:w="1417"/>
      </w:tblGrid>
      <w:tr w:rsidR="00E920CB" w:rsidRPr="00BC0D25" w:rsidTr="006559C8">
        <w:tc>
          <w:tcPr>
            <w:tcW w:w="2389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Račun/Pozicija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izvorni plan 2017. godine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Tekući plan  2017. godine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Izvršenje 2017. godine</w:t>
            </w:r>
          </w:p>
        </w:tc>
        <w:tc>
          <w:tcPr>
            <w:tcW w:w="1417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27"/>
                <w:szCs w:val="27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Indeks 5/3</w:t>
            </w:r>
          </w:p>
        </w:tc>
      </w:tr>
      <w:tr w:rsidR="00E920CB" w:rsidRPr="00BC0D25" w:rsidTr="006559C8">
        <w:tc>
          <w:tcPr>
            <w:tcW w:w="2389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920CB" w:rsidRPr="00BC0D25" w:rsidTr="006559C8">
        <w:tc>
          <w:tcPr>
            <w:tcW w:w="2389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RAZDJEL</w:t>
            </w:r>
          </w:p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001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BC0D25" w:rsidTr="006559C8">
        <w:tc>
          <w:tcPr>
            <w:tcW w:w="2389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GLAVA </w:t>
            </w:r>
          </w:p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00101</w:t>
            </w:r>
          </w:p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Izv. 1 2  4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147.736,22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57.417,12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89,71%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96,65%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4.190,28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83,81%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58,50%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IZBORI PREDSTAVNIČKIH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IZVRŠNIH TJELA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99,83%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71.930,53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71.326,36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87,22%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87,22%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23.545,78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68,25%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104.667,20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93,04%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45.762,41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96,34%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28.578,96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92,19%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odžavanje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17.183,45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 2  4  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70,68%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258.965,05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94,40%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26.355,29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23.750,45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2.604,84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37,85%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43,62%</w:t>
            </w:r>
          </w:p>
        </w:tc>
      </w:tr>
      <w:tr w:rsidR="00E920CB" w:rsidRPr="0005157A" w:rsidTr="006559C8">
        <w:tc>
          <w:tcPr>
            <w:tcW w:w="240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33"/>
        <w:gridCol w:w="45"/>
        <w:gridCol w:w="11"/>
        <w:gridCol w:w="19"/>
        <w:gridCol w:w="5071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6.280,79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86,04%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4.470,39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89,41%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16,80%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14.191,96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61,70%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4.902,44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70,03%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5.635,79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3.653,73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73,07%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53.051,73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98,61%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29.939,67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98,16%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3.130,86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5.757,22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115,14%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71,50%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4.914,00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1.293,39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86,23%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3.490,63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57,22%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26.139,35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19,61%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osiguranja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13.186,46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99,56%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1.935,22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99,55%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1.743,95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99,54%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191,27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99,62%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I PROJEKTI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5071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PROGRAM PREKOGRANIČNE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SURADNJE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14BD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A200206Akt.</w:t>
            </w:r>
          </w:p>
        </w:tc>
        <w:tc>
          <w:tcPr>
            <w:tcW w:w="5071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5071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19,46%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5071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19,46%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99,44%</w:t>
            </w:r>
          </w:p>
        </w:tc>
      </w:tr>
      <w:tr w:rsidR="00E920CB" w:rsidRPr="0005157A" w:rsidTr="006559C8">
        <w:tc>
          <w:tcPr>
            <w:tcW w:w="2408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99,44%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5.011,02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100,22%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2.248,11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97,74%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510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106.567,17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5,40%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A300402Akt.</w:t>
            </w:r>
          </w:p>
        </w:tc>
        <w:tc>
          <w:tcPr>
            <w:tcW w:w="510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130,23%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130,23%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K200204Akt.</w:t>
            </w:r>
          </w:p>
        </w:tc>
        <w:tc>
          <w:tcPr>
            <w:tcW w:w="510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510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REKONSTRUKCIJA CENTRA ZA JAVNE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INICIJATIVE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K200802Akt.</w:t>
            </w:r>
          </w:p>
        </w:tc>
        <w:tc>
          <w:tcPr>
            <w:tcW w:w="510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97,34%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6559C8">
        <w:tc>
          <w:tcPr>
            <w:tcW w:w="2378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K200805Akt.</w:t>
            </w:r>
          </w:p>
        </w:tc>
        <w:tc>
          <w:tcPr>
            <w:tcW w:w="5146" w:type="dxa"/>
            <w:gridSpan w:val="4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NOVI DOM MIKLUŠEVCI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4.555,66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96,93%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96,20%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97,57%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5146" w:type="dxa"/>
            <w:gridSpan w:val="4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100,32%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100,32%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K200810Akt.</w:t>
            </w:r>
          </w:p>
        </w:tc>
        <w:tc>
          <w:tcPr>
            <w:tcW w:w="5146" w:type="dxa"/>
            <w:gridSpan w:val="4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99,94%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6559C8">
        <w:tc>
          <w:tcPr>
            <w:tcW w:w="2333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PROSTORNO UREĐENJE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UNAPREĐENJE STANOVANJA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URBANISTIČKOG PROGRAMA CENTRA TOMPOJEVACA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548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ENERGETSKA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UČINKOVITOST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K201001</w:t>
            </w: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SOLARNI PANELI ZA PROIZVODNJU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ELEKTRIČNE ENERGIJE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0435 Električna 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</w:t>
            </w:r>
            <w:r w:rsidRPr="00EE64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201001Akt.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ENERGETSKA UČINKOVITOST 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ZGRADARSTVU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0490 Ekonomski poslovi koji nisu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drugdje svrstani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sz w:val="16"/>
                <w:szCs w:val="16"/>
              </w:rPr>
            </w:pPr>
            <w:r w:rsidRPr="00EE648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5C3DC7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 POTPORA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POLJOPRIVREDI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T200115Akt.</w:t>
            </w:r>
          </w:p>
        </w:tc>
        <w:tc>
          <w:tcPr>
            <w:tcW w:w="5109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POTPORA POLJOPRIVREDNIM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PROIZVOĐAČIMA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obrtnicima,malim i srednjim poduzetnicima izvan javnog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ektora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obrtnicima, malim i srednjim poduzetnicima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PROGRAMI EUROPSKE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T201301Akt.</w:t>
            </w:r>
          </w:p>
        </w:tc>
        <w:tc>
          <w:tcPr>
            <w:tcW w:w="5109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LJUDSKIH POTENCIJALA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JEDINSTVENI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 1 2 3 4  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JEDINSTVRNI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JAVNA UPRAVA I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552.830,46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94,35%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ADMINISTRACIJA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5109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STRUČNO ADMINISTRATIVNO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TEHNIČKO OSOBLJE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528.029,23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94,36%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355.186,37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94,85%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28.816,85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25.969,23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2.847,62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53.768,00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97,44%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29,24%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52.518,00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105,04%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612,50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20,42%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16.068,44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91,82%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2.864,28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95,48%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5.673,76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87,29%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5.430,40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98,73%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84,00%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63.266,92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81,75%</w:t>
            </w:r>
          </w:p>
        </w:tc>
      </w:tr>
      <w:tr w:rsidR="00E920CB" w:rsidRPr="0005157A" w:rsidTr="006559C8">
        <w:tc>
          <w:tcPr>
            <w:tcW w:w="237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5.314,48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88,57%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7"/>
        <w:gridCol w:w="14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851,94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24,34%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14.266,25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72,79%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25.267,50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84,23%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17.566,75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96,05%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6.831,68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85,40%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2.307,20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65,92%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2.524,48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100,98%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4.789,52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89,59%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4.533,30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95,52%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252,88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34.929,85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88,16%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20.998,15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98,49%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9.682,39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96,82%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11.315,76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99,96%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27.848,99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78,49%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17.637,63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90,45%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21,20%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17.319,63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10.211,36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63,90%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1.112,92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58,57%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9.098,44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69,57%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110.064,02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14.413,49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12.988,88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1.424,61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5104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ja</w:t>
            </w:r>
            <w:proofErr w:type="spellEnd"/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24.801,23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82,05%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82,05%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1.265,10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99,61%</w:t>
            </w:r>
          </w:p>
        </w:tc>
      </w:tr>
      <w:tr w:rsidR="00E920CB" w:rsidRPr="0005157A" w:rsidTr="006559C8">
        <w:tc>
          <w:tcPr>
            <w:tcW w:w="237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95,81%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98.675,34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88,94%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511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POMOĆ ZA PODMIRENJE TROŠKOVA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STANOVANJA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99,28%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5111" w:type="dxa"/>
            <w:gridSpan w:val="3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OSTALE POMOĆI OBITELJIMA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KUĆANSTVIMA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54.897,94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81,94%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40.898,26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77,17%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37.898,26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71,94%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građanima i kućanstvima u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naravi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24.948,26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21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5111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ODRŽAVANJE KOMUNALNE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760.934,85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70,99%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5111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NERAZVRSTANIH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CESTA U ZIMSKOM RAZDOBLJU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65,70%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5111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NERAZVRSANIH CESTA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–redovno izvanredno 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5111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97,11%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97,11%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5111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649.671,08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69,86%</w:t>
            </w:r>
          </w:p>
        </w:tc>
      </w:tr>
      <w:tr w:rsidR="00E920CB" w:rsidRPr="0005157A" w:rsidTr="006559C8">
        <w:tc>
          <w:tcPr>
            <w:tcW w:w="2368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58.723,33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rPr>
          <w:trHeight w:val="144"/>
        </w:trPr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14.769,88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76,13%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4.982,95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55,37%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8.386,93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rPr>
          <w:trHeight w:val="309"/>
        </w:trPr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28.125,23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64,27%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7.492,94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26,56%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3.970,00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11.787,29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173,34%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414.258,75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78,96%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45.765,68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41.242,51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4.523,17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49,19%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osigur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176.689,00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54,03%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2.704,93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62,91%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2.603,59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5,63%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173.984,07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53,91%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173.424,73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53,84%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6"/>
        <w:gridCol w:w="5084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559,34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93,22%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5084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i kom. Pogodnosti koji nisu drugdje svrstani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90,52%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90,52%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23.840,07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90,99%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8.101,74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79,43%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9.738,33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97,38%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GRADNJA OBJEKATA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UREĐAJA KOMUNALNE INFRASTRUKTURE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649.327,13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56,06%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5084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602.927,85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96,71%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5084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0630 Opskrba vodom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95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ZAVRŠNI RADOVI NA MRTVAČNICAMA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45.151,34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94,70%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JAVNE POTREBE OSTALIH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UDRUGA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BRIGA ZA DJECU I MLADE,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BRANITELJSKU POPULACIJU, TE OSOBE TREĆE ŽIVOTNE DOBI I DR.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RAZVOJ CIVILNOG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DRUŠTVA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58.150,00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98,31%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URED ZA MEĐUNARODNU SURADNJU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TINTL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5090" w:type="dxa"/>
            <w:gridSpan w:val="2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75,90%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75,90%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zajednice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PREDŠKOLSKI ODGOJ,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OSNOVNO, SREDNJE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ISOKO OBRAZOVANJE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65.521,72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80,30%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27.140,62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77,32%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38.381,10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82,54%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8.071,79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101,53%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4.068,12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102,99%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1.033,33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22,96%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17,96%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44,90%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89,80%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58,43%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58,43%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40,70%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117.267,65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4343,25%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45,36%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854,65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71,22%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A301207Akt.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ELEMENTARNA NEPOGODA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šteta pravnim i fizičkim osobama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55.414,55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64,36%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sigurnosr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koji nisu drugdje svrstani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3,49%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76,72%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76,72%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  <w:p w:rsidR="009F4AE8" w:rsidRPr="0005157A" w:rsidRDefault="009F4AE8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  <w:p w:rsidR="009F4AE8" w:rsidRPr="0005157A" w:rsidRDefault="009F4AE8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socijalnom programom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82,71%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0315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33.561,28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98,86%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ODVOZ OTPADA I SANIRANJE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DEPONIJA</w:t>
            </w:r>
          </w:p>
          <w:p w:rsidR="009F4AE8" w:rsidRPr="0005157A" w:rsidRDefault="009F4AE8" w:rsidP="006559C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97,83%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97,83%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  <w:p w:rsidR="009F4AE8" w:rsidRPr="0005157A" w:rsidRDefault="009F4AE8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A301503Akt.</w:t>
            </w:r>
          </w:p>
        </w:tc>
        <w:tc>
          <w:tcPr>
            <w:tcW w:w="5090" w:type="dxa"/>
          </w:tcPr>
          <w:p w:rsidR="00E920CB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UKLANJANJE STARIH OBJEKATA</w:t>
            </w:r>
          </w:p>
          <w:p w:rsidR="009F4AE8" w:rsidRPr="0005157A" w:rsidRDefault="009F4AE8" w:rsidP="006559C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6559C8">
        <w:tc>
          <w:tcPr>
            <w:tcW w:w="2389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23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417" w:type="dxa"/>
          </w:tcPr>
          <w:p w:rsidR="00E920CB" w:rsidRPr="0005157A" w:rsidRDefault="00E920CB" w:rsidP="006559C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E920CB" w:rsidSect="00382EE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lastRenderedPageBreak/>
        <w:t xml:space="preserve">4. IZVJEŠTAJ O KORIŠTENJU PRORAČUNSKE ZALIHE </w:t>
      </w:r>
    </w:p>
    <w:p w:rsidR="00E920CB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U Proračunu Općine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za 2017. g. nije planirana proračunsku zalihu, samim tim nije bilo niti korištenja iste. </w:t>
      </w:r>
    </w:p>
    <w:p w:rsidR="00E920CB" w:rsidRPr="004D1D45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E920CB" w:rsidRPr="004D1D45" w:rsidRDefault="00E920CB" w:rsidP="00E920CB">
      <w:pPr>
        <w:pStyle w:val="Default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U periodu od 01. siječnja do 31.prosinca</w:t>
      </w:r>
      <w:r w:rsidRPr="004D1D45">
        <w:rPr>
          <w:color w:val="auto"/>
          <w:sz w:val="22"/>
          <w:szCs w:val="22"/>
        </w:rPr>
        <w:t xml:space="preserve"> 2017. g.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se nije zaduživala.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 nema danih jamstava niti izdataka po istim. </w:t>
      </w:r>
    </w:p>
    <w:p w:rsidR="00E920CB" w:rsidRPr="004D1D45" w:rsidRDefault="00E920CB" w:rsidP="00E920C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Pr="004D1D45">
        <w:rPr>
          <w:color w:val="auto"/>
          <w:sz w:val="22"/>
          <w:szCs w:val="22"/>
        </w:rPr>
        <w:t>2017 g</w:t>
      </w:r>
      <w:r>
        <w:rPr>
          <w:color w:val="auto"/>
          <w:sz w:val="22"/>
          <w:szCs w:val="22"/>
        </w:rPr>
        <w:t>odini</w:t>
      </w:r>
      <w:r w:rsidRPr="004D1D45">
        <w:rPr>
          <w:color w:val="auto"/>
          <w:sz w:val="22"/>
          <w:szCs w:val="22"/>
        </w:rPr>
        <w:t xml:space="preserve"> ukupni prihodi/primici os</w:t>
      </w:r>
      <w:r>
        <w:rPr>
          <w:color w:val="auto"/>
          <w:sz w:val="22"/>
          <w:szCs w:val="22"/>
        </w:rPr>
        <w:t>tvareni su u iznosu 5.228.619,11 kn, odnosno 86,16</w:t>
      </w:r>
      <w:r w:rsidRPr="004D1D45">
        <w:rPr>
          <w:color w:val="auto"/>
          <w:sz w:val="22"/>
          <w:szCs w:val="22"/>
        </w:rPr>
        <w:t xml:space="preserve"> % od plana. </w:t>
      </w: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>Ukupni ra</w:t>
      </w:r>
      <w:r>
        <w:rPr>
          <w:color w:val="auto"/>
          <w:sz w:val="22"/>
          <w:szCs w:val="22"/>
        </w:rPr>
        <w:t>shodi/izdaci u 2017. godini</w:t>
      </w:r>
      <w:r w:rsidRPr="004D1D4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</w:t>
      </w:r>
      <w:r w:rsidRPr="004D1D45">
        <w:rPr>
          <w:color w:val="auto"/>
          <w:sz w:val="22"/>
          <w:szCs w:val="22"/>
        </w:rPr>
        <w:t>znose</w:t>
      </w:r>
      <w:r>
        <w:rPr>
          <w:color w:val="auto"/>
          <w:sz w:val="22"/>
          <w:szCs w:val="22"/>
        </w:rPr>
        <w:t xml:space="preserve"> 3.198.496,43 kn, odnosno 52,71</w:t>
      </w:r>
      <w:r w:rsidRPr="004D1D45">
        <w:rPr>
          <w:color w:val="auto"/>
          <w:sz w:val="22"/>
          <w:szCs w:val="22"/>
        </w:rPr>
        <w:t xml:space="preserve"> %</w:t>
      </w:r>
      <w:r>
        <w:rPr>
          <w:color w:val="auto"/>
          <w:sz w:val="22"/>
          <w:szCs w:val="22"/>
        </w:rPr>
        <w:t xml:space="preserve"> od</w:t>
      </w:r>
      <w:r w:rsidRPr="004D1D45">
        <w:rPr>
          <w:color w:val="auto"/>
          <w:sz w:val="22"/>
          <w:szCs w:val="22"/>
        </w:rPr>
        <w:t xml:space="preserve"> plana. </w:t>
      </w:r>
    </w:p>
    <w:p w:rsidR="00E920CB" w:rsidRPr="004D1D45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D1D45">
        <w:rPr>
          <w:rFonts w:ascii="Times New Roman" w:hAnsi="Times New Roman"/>
        </w:rPr>
        <w:t>Razlika između ostvarenih prihoda/primitaka i rasho</w:t>
      </w:r>
      <w:r>
        <w:rPr>
          <w:rFonts w:ascii="Times New Roman" w:hAnsi="Times New Roman"/>
        </w:rPr>
        <w:t xml:space="preserve">da/izdataka u </w:t>
      </w:r>
      <w:r w:rsidRPr="004D1D45">
        <w:rPr>
          <w:rFonts w:ascii="Times New Roman" w:hAnsi="Times New Roman"/>
        </w:rPr>
        <w:t>2017. g. daje višak priho</w:t>
      </w:r>
      <w:r>
        <w:rPr>
          <w:rFonts w:ascii="Times New Roman" w:hAnsi="Times New Roman"/>
        </w:rPr>
        <w:t>da/primitaka u iznosu 2.030.122,68</w:t>
      </w:r>
      <w:r w:rsidRPr="004D1D45">
        <w:rPr>
          <w:rFonts w:ascii="Times New Roman" w:hAnsi="Times New Roman"/>
        </w:rPr>
        <w:t xml:space="preserve"> kn</w:t>
      </w:r>
    </w:p>
    <w:p w:rsidR="00E920CB" w:rsidRPr="004D1D45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Uključujući preneseni višak prihoda/primitaka iz prethodnih godina  u iznosu 1.693.720,82 kn i višak prihoda/primitaka u iznosu </w:t>
      </w:r>
      <w:r>
        <w:t>2</w:t>
      </w:r>
      <w:r w:rsidRPr="00E30AAC">
        <w:rPr>
          <w:sz w:val="22"/>
          <w:szCs w:val="22"/>
        </w:rPr>
        <w:t>.030.122,68</w:t>
      </w:r>
      <w:r w:rsidRPr="004D1D45">
        <w:t xml:space="preserve"> </w:t>
      </w:r>
      <w:r>
        <w:rPr>
          <w:color w:val="auto"/>
          <w:sz w:val="22"/>
          <w:szCs w:val="22"/>
        </w:rPr>
        <w:t xml:space="preserve">kn u </w:t>
      </w:r>
      <w:r w:rsidRPr="004D1D45">
        <w:rPr>
          <w:color w:val="auto"/>
          <w:sz w:val="22"/>
          <w:szCs w:val="22"/>
        </w:rPr>
        <w:t>2017. g.,   raspoloživ višak prihoda u sljedeć</w:t>
      </w:r>
      <w:r>
        <w:rPr>
          <w:color w:val="auto"/>
          <w:sz w:val="22"/>
          <w:szCs w:val="22"/>
        </w:rPr>
        <w:t>em razdoblju iznosi 3.723.843,50</w:t>
      </w:r>
      <w:r w:rsidRPr="004D1D45">
        <w:rPr>
          <w:color w:val="auto"/>
          <w:sz w:val="22"/>
          <w:szCs w:val="22"/>
        </w:rPr>
        <w:t xml:space="preserve"> kn. </w:t>
      </w:r>
    </w:p>
    <w:p w:rsidR="00E920CB" w:rsidRPr="00F2522F" w:rsidRDefault="00E920CB" w:rsidP="00E920CB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>Prihodi/primi</w:t>
      </w:r>
      <w:r>
        <w:rPr>
          <w:color w:val="auto"/>
          <w:sz w:val="22"/>
          <w:szCs w:val="22"/>
        </w:rPr>
        <w:t xml:space="preserve">ci proračuna u </w:t>
      </w:r>
      <w:r w:rsidRPr="000940B2">
        <w:rPr>
          <w:color w:val="auto"/>
          <w:sz w:val="22"/>
          <w:szCs w:val="22"/>
        </w:rPr>
        <w:t xml:space="preserve"> 2017. g. realizirani su u iznosu </w:t>
      </w:r>
      <w:r>
        <w:rPr>
          <w:color w:val="auto"/>
          <w:sz w:val="22"/>
          <w:szCs w:val="22"/>
        </w:rPr>
        <w:t>5.228.619,11 kn ili 86,16</w:t>
      </w:r>
      <w:r w:rsidRPr="000940B2">
        <w:rPr>
          <w:color w:val="auto"/>
          <w:sz w:val="22"/>
          <w:szCs w:val="22"/>
        </w:rPr>
        <w:t xml:space="preserve">% godišnjeg plana.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940B2">
        <w:rPr>
          <w:i/>
          <w:iCs/>
          <w:color w:val="auto"/>
          <w:sz w:val="22"/>
          <w:szCs w:val="22"/>
        </w:rPr>
        <w:t xml:space="preserve">6.1.1. PRIHODI POSLOVANJA </w:t>
      </w: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E920CB" w:rsidRPr="000940B2" w:rsidTr="006559C8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Plan</w:t>
            </w:r>
          </w:p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Izvršenje</w:t>
            </w:r>
          </w:p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 -  12</w:t>
            </w:r>
            <w:r w:rsidRPr="000940B2">
              <w:rPr>
                <w:rFonts w:ascii="Times New Roman" w:hAnsi="Times New Roman" w:cs="Times New Roman"/>
              </w:rPr>
              <w:t>.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Indeks</w:t>
            </w:r>
          </w:p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E920CB" w:rsidRPr="000940B2" w:rsidTr="006559C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940B2" w:rsidTr="006559C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1.034.500</w:t>
            </w:r>
            <w:r w:rsidRPr="000940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860.122,88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  <w:r w:rsidRPr="000940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0940B2">
              <w:rPr>
                <w:rFonts w:ascii="Times New Roman" w:hAnsi="Times New Roman" w:cs="Times New Roman"/>
              </w:rPr>
              <w:t>4%</w:t>
            </w:r>
          </w:p>
        </w:tc>
      </w:tr>
      <w:tr w:rsidR="00E920CB" w:rsidRPr="00AA7BD3" w:rsidTr="006559C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3.766.359,00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3.115.214,59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6559C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829.350,38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103,92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6559C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303.370,00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276.272,55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6559C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99,90%</w:t>
            </w:r>
          </w:p>
        </w:tc>
      </w:tr>
      <w:tr w:rsidR="00E920CB" w:rsidRPr="00AA7BD3" w:rsidTr="006559C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4.991,3</w:t>
            </w:r>
            <w:r w:rsidRPr="00AA7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6559C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5.919.419,00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5.093.034,90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94275D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E920CB" w:rsidRPr="0094275D" w:rsidSect="006E7E5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0D394C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lastRenderedPageBreak/>
        <w:t xml:space="preserve">Prihodi od poreza ostvareni su u iznosu </w:t>
      </w:r>
      <w:r>
        <w:rPr>
          <w:color w:val="auto"/>
          <w:sz w:val="22"/>
          <w:szCs w:val="22"/>
        </w:rPr>
        <w:t>860.122,88</w:t>
      </w:r>
      <w:r w:rsidRPr="000D394C">
        <w:rPr>
          <w:color w:val="auto"/>
          <w:sz w:val="22"/>
          <w:szCs w:val="22"/>
        </w:rPr>
        <w:t xml:space="preserve"> kn, ili </w:t>
      </w:r>
      <w:r>
        <w:rPr>
          <w:color w:val="auto"/>
          <w:sz w:val="22"/>
          <w:szCs w:val="22"/>
        </w:rPr>
        <w:t>83,1</w:t>
      </w:r>
      <w:r w:rsidRPr="000D394C">
        <w:rPr>
          <w:color w:val="auto"/>
          <w:sz w:val="22"/>
          <w:szCs w:val="22"/>
        </w:rPr>
        <w:t xml:space="preserve">4% ukupno planiranih prihoda od poreza u 2017. g.  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pomoći iz inozemstva i od subjekata unutar opće države ostvareni su u iznosu </w:t>
      </w:r>
      <w:r>
        <w:rPr>
          <w:color w:val="auto"/>
          <w:sz w:val="22"/>
          <w:szCs w:val="22"/>
        </w:rPr>
        <w:t>3.115.214,59</w:t>
      </w:r>
      <w:r w:rsidRPr="000D394C">
        <w:rPr>
          <w:color w:val="auto"/>
          <w:sz w:val="22"/>
          <w:szCs w:val="22"/>
        </w:rPr>
        <w:t xml:space="preserve">  kn, ili </w:t>
      </w:r>
      <w:r>
        <w:rPr>
          <w:color w:val="auto"/>
          <w:sz w:val="22"/>
          <w:szCs w:val="22"/>
        </w:rPr>
        <w:t>82,71</w:t>
      </w:r>
      <w:r w:rsidRPr="000D394C">
        <w:rPr>
          <w:color w:val="auto"/>
          <w:sz w:val="22"/>
          <w:szCs w:val="22"/>
        </w:rPr>
        <w:t>% planiranih</w:t>
      </w:r>
      <w:r>
        <w:rPr>
          <w:color w:val="auto"/>
          <w:sz w:val="22"/>
          <w:szCs w:val="22"/>
        </w:rPr>
        <w:t xml:space="preserve"> prihoda</w:t>
      </w:r>
      <w:r w:rsidRPr="000D394C">
        <w:rPr>
          <w:color w:val="auto"/>
          <w:sz w:val="22"/>
          <w:szCs w:val="22"/>
        </w:rPr>
        <w:t xml:space="preserve"> u 2017.g. </w:t>
      </w:r>
      <w:r>
        <w:rPr>
          <w:color w:val="auto"/>
          <w:sz w:val="22"/>
          <w:szCs w:val="22"/>
        </w:rPr>
        <w:t xml:space="preserve">( odnose se na tekuće pomoći iz državnog  i županijskog proračuna, kapitalne pomoći, tekuće pomoći HHZ-a, tekuće pomoći temeljem </w:t>
      </w:r>
      <w:proofErr w:type="spellStart"/>
      <w:r>
        <w:rPr>
          <w:color w:val="auto"/>
          <w:sz w:val="22"/>
          <w:szCs w:val="22"/>
        </w:rPr>
        <w:t>prienosa</w:t>
      </w:r>
      <w:proofErr w:type="spellEnd"/>
      <w:r>
        <w:rPr>
          <w:color w:val="auto"/>
          <w:sz w:val="22"/>
          <w:szCs w:val="22"/>
        </w:rPr>
        <w:t xml:space="preserve"> EU</w:t>
      </w:r>
      <w:r w:rsidRPr="005B01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sredstava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</w:t>
      </w:r>
      <w:r>
        <w:rPr>
          <w:color w:val="auto"/>
          <w:sz w:val="22"/>
          <w:szCs w:val="22"/>
        </w:rPr>
        <w:t xml:space="preserve">imovine </w:t>
      </w:r>
      <w:r w:rsidRPr="000D394C">
        <w:rPr>
          <w:color w:val="auto"/>
          <w:sz w:val="22"/>
          <w:szCs w:val="22"/>
        </w:rPr>
        <w:t xml:space="preserve"> realizirani su u iznosu </w:t>
      </w:r>
      <w:r>
        <w:rPr>
          <w:color w:val="auto"/>
          <w:sz w:val="22"/>
          <w:szCs w:val="22"/>
        </w:rPr>
        <w:t xml:space="preserve">829.350,38 </w:t>
      </w:r>
      <w:r w:rsidRPr="000D394C">
        <w:rPr>
          <w:color w:val="auto"/>
          <w:sz w:val="22"/>
          <w:szCs w:val="22"/>
        </w:rPr>
        <w:tab/>
        <w:t xml:space="preserve">kn, ili </w:t>
      </w:r>
      <w:r>
        <w:rPr>
          <w:color w:val="auto"/>
          <w:sz w:val="22"/>
          <w:szCs w:val="22"/>
        </w:rPr>
        <w:t>103,92</w:t>
      </w:r>
      <w:r w:rsidRPr="000D394C">
        <w:rPr>
          <w:color w:val="auto"/>
          <w:sz w:val="22"/>
          <w:szCs w:val="22"/>
        </w:rPr>
        <w:t xml:space="preserve">%  planiranih prihoda. Najznačajniji udio prihoda u ovoj skupini su prihodi od zakupa državnog poljoprivrednog zemljišta, koncesijske naknade, kamata  i prihodi od nefinancijske imovine ( naknade za legalizaciju).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>
        <w:rPr>
          <w:color w:val="auto"/>
          <w:sz w:val="22"/>
          <w:szCs w:val="22"/>
        </w:rPr>
        <w:t>276.272,55</w:t>
      </w:r>
      <w:r w:rsidRPr="000D394C">
        <w:rPr>
          <w:color w:val="auto"/>
          <w:sz w:val="22"/>
          <w:szCs w:val="22"/>
        </w:rPr>
        <w:t xml:space="preserve"> kn</w:t>
      </w:r>
      <w:r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ili</w:t>
      </w:r>
      <w:r>
        <w:rPr>
          <w:color w:val="auto"/>
          <w:sz w:val="22"/>
          <w:szCs w:val="22"/>
        </w:rPr>
        <w:t xml:space="preserve"> 91,07</w:t>
      </w:r>
      <w:r w:rsidRPr="000D394C">
        <w:rPr>
          <w:color w:val="auto"/>
          <w:sz w:val="22"/>
          <w:szCs w:val="22"/>
        </w:rPr>
        <w:t>% planiranih prihoda. Najznačajniji udio prihoda u ovoj skupini su prihodi od komunalne naknade, grobne naknade,  komunalnog doprinosa,  vodnog  i  šumskog doprinosa</w:t>
      </w:r>
      <w:r w:rsidRPr="00F2522F">
        <w:rPr>
          <w:color w:val="FF0000"/>
          <w:sz w:val="22"/>
          <w:szCs w:val="22"/>
        </w:rPr>
        <w:t xml:space="preserve">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94939">
        <w:rPr>
          <w:color w:val="auto"/>
          <w:sz w:val="22"/>
          <w:szCs w:val="22"/>
        </w:rPr>
        <w:t>Ostali prihodi</w:t>
      </w:r>
      <w:r>
        <w:rPr>
          <w:color w:val="auto"/>
          <w:sz w:val="22"/>
          <w:szCs w:val="22"/>
        </w:rPr>
        <w:t xml:space="preserve">- donacija od pravnih i fizičkih osoba iznose 7.083,20 kn ili 99,91% odnose  povrata sredstava u proračun od članova vijeća nezavisne liste kandidata koji sredstva nisu utrošili za </w:t>
      </w:r>
      <w:proofErr w:type="spellStart"/>
      <w:r>
        <w:rPr>
          <w:color w:val="auto"/>
          <w:sz w:val="22"/>
          <w:szCs w:val="22"/>
        </w:rPr>
        <w:t>vrijme</w:t>
      </w:r>
      <w:proofErr w:type="spellEnd"/>
      <w:r>
        <w:rPr>
          <w:color w:val="auto"/>
          <w:sz w:val="22"/>
          <w:szCs w:val="22"/>
        </w:rPr>
        <w:t xml:space="preserve"> trajanja mandata.</w:t>
      </w:r>
    </w:p>
    <w:p w:rsidR="00E920CB" w:rsidRPr="0069493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Ostali prihodi iznose 4.991,30 kn ili 49,91% planirano a odnose se na prihode od nastalih troškova javnog bilježnika za provedene ovrhe.</w:t>
      </w:r>
    </w:p>
    <w:p w:rsidR="00E920CB" w:rsidRPr="00F2522F" w:rsidRDefault="00E920CB" w:rsidP="00E920CB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D394C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0D394C" w:rsidTr="006559C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Plan</w:t>
            </w:r>
          </w:p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Izvršenje</w:t>
            </w:r>
          </w:p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0D394C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0D394C" w:rsidTr="006559C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D394C" w:rsidTr="006559C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135.299,21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90,93%</w:t>
            </w:r>
          </w:p>
        </w:tc>
      </w:tr>
      <w:tr w:rsidR="00E920CB" w:rsidRPr="000D394C" w:rsidTr="006559C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imovine 72</w:t>
            </w:r>
          </w:p>
        </w:tc>
        <w:tc>
          <w:tcPr>
            <w:tcW w:w="1559" w:type="dxa"/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843" w:type="dxa"/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275" w:type="dxa"/>
            <w:vAlign w:val="center"/>
          </w:tcPr>
          <w:p w:rsidR="00E920CB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98,28%</w:t>
            </w:r>
          </w:p>
        </w:tc>
      </w:tr>
      <w:tr w:rsidR="00E920CB" w:rsidRPr="000D394C" w:rsidTr="006559C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149.09</w:t>
            </w:r>
            <w:r w:rsidRPr="000D39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135.584,21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90,94</w:t>
            </w:r>
            <w:r w:rsidRPr="000D394C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0D394C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prodaje nefinancijske imovine  realizirani su u iznosu od </w:t>
      </w:r>
      <w:r>
        <w:rPr>
          <w:color w:val="auto"/>
          <w:sz w:val="22"/>
          <w:szCs w:val="22"/>
        </w:rPr>
        <w:t>135.299,21</w:t>
      </w:r>
      <w:r w:rsidRPr="000D394C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90,93</w:t>
      </w:r>
      <w:r w:rsidRPr="000D394C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E920CB" w:rsidRPr="0059034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t xml:space="preserve">Prihodi od prodaje </w:t>
      </w:r>
      <w:proofErr w:type="spellStart"/>
      <w:r>
        <w:t>neproizvedene</w:t>
      </w:r>
      <w:proofErr w:type="spellEnd"/>
      <w:r>
        <w:t xml:space="preserve"> imovine realizirani su u iznosu od 285,00 kn ili 98,28% od prodaje otpisane dugotrajne imovine.</w:t>
      </w:r>
    </w:p>
    <w:p w:rsidR="00E920CB" w:rsidRDefault="00E920CB" w:rsidP="00E920CB">
      <w:pPr>
        <w:pStyle w:val="Default"/>
        <w:ind w:left="720"/>
        <w:jc w:val="both"/>
      </w:pPr>
    </w:p>
    <w:p w:rsidR="00E920CB" w:rsidRDefault="00E920CB" w:rsidP="00E920CB">
      <w:pPr>
        <w:pStyle w:val="Default"/>
        <w:ind w:left="720"/>
        <w:jc w:val="both"/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44F9">
        <w:rPr>
          <w:b/>
          <w:color w:val="auto"/>
          <w:sz w:val="22"/>
          <w:szCs w:val="22"/>
        </w:rPr>
        <w:t>6.2.</w:t>
      </w:r>
      <w:r w:rsidRPr="002E44F9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E44F9">
        <w:rPr>
          <w:b/>
          <w:bCs/>
          <w:color w:val="auto"/>
          <w:sz w:val="22"/>
          <w:szCs w:val="22"/>
        </w:rPr>
        <w:t>RASHODA I IZDATAKA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Ukupni proračunski rashodi i izdaci izvrš</w:t>
      </w:r>
      <w:r>
        <w:rPr>
          <w:bCs/>
          <w:color w:val="auto"/>
          <w:sz w:val="22"/>
          <w:szCs w:val="22"/>
        </w:rPr>
        <w:t>eni su u iznosu od  3.198.496,43 kn ili  52,71</w:t>
      </w:r>
      <w:r w:rsidRPr="002E44F9">
        <w:rPr>
          <w:bCs/>
          <w:color w:val="auto"/>
          <w:sz w:val="22"/>
          <w:szCs w:val="22"/>
        </w:rPr>
        <w:t>% u odnosu na godišnji plan.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Prema ekonomskoj klasifikaciji rashodi i izdaci su: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POSLOVANJA</w:t>
      </w: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ZA NABAVU NEFINANCIJSKE IMOVINE</w:t>
      </w: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lastRenderedPageBreak/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6559C8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Plan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Izvršenje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2E44F9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Indeks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2E44F9" w:rsidTr="006559C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837.630</w:t>
            </w:r>
            <w:r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815.837,58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97,40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1.619.833,00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1.104.712,82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68,20%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16.646,00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14.889,63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89,45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6559C8">
        <w:trPr>
          <w:trHeight w:val="631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107.</w:t>
            </w:r>
            <w:r>
              <w:rPr>
                <w:rFonts w:ascii="Times New Roman" w:hAnsi="Times New Roman" w:cs="Times New Roman"/>
              </w:rPr>
              <w:t>95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95.675,34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88,63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347.340,00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405.610,99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116,78%</w:t>
            </w:r>
          </w:p>
        </w:tc>
      </w:tr>
      <w:tr w:rsidR="00E920CB" w:rsidRPr="002E44F9" w:rsidTr="006559C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2.935.399,</w:t>
            </w:r>
            <w:r w:rsidRPr="002E44F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2.442.726,36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83,22</w:t>
            </w:r>
            <w:r w:rsidRPr="002E44F9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Rashodi za zaposlene izvršeni su u iznosu od</w:t>
      </w:r>
      <w:r>
        <w:rPr>
          <w:color w:val="auto"/>
          <w:sz w:val="22"/>
          <w:szCs w:val="22"/>
        </w:rPr>
        <w:t xml:space="preserve"> 815.837,58 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97,40</w:t>
      </w:r>
      <w:r w:rsidRPr="002E44F9">
        <w:rPr>
          <w:color w:val="auto"/>
          <w:sz w:val="22"/>
          <w:szCs w:val="22"/>
        </w:rPr>
        <w:t>%</w:t>
      </w:r>
      <w:r w:rsidRPr="002E44F9">
        <w:rPr>
          <w:color w:val="auto"/>
        </w:rPr>
        <w:t xml:space="preserve"> </w:t>
      </w:r>
      <w:r w:rsidRPr="002E44F9">
        <w:rPr>
          <w:color w:val="auto"/>
          <w:sz w:val="22"/>
          <w:szCs w:val="22"/>
        </w:rPr>
        <w:t>odnose se na rashode za bruto plaće uposlenih dužnosnika, djelatnika</w:t>
      </w:r>
      <w:r>
        <w:rPr>
          <w:color w:val="auto"/>
          <w:sz w:val="22"/>
          <w:szCs w:val="22"/>
        </w:rPr>
        <w:t xml:space="preserve"> JUO i  djelatnika</w:t>
      </w:r>
      <w:r w:rsidRPr="002E44F9">
        <w:rPr>
          <w:color w:val="auto"/>
          <w:sz w:val="22"/>
          <w:szCs w:val="22"/>
        </w:rPr>
        <w:t xml:space="preserve"> javnih radova.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Materijalni rashodi izvršeni su u izno</w:t>
      </w:r>
      <w:r>
        <w:rPr>
          <w:color w:val="auto"/>
          <w:sz w:val="22"/>
          <w:szCs w:val="22"/>
        </w:rPr>
        <w:t>su od 1.104.712,82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68,20</w:t>
      </w:r>
      <w:r w:rsidRPr="002E44F9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E920CB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Financijski rashodi izvršeni su iznosu </w:t>
      </w:r>
      <w:r>
        <w:rPr>
          <w:color w:val="auto"/>
          <w:sz w:val="22"/>
          <w:szCs w:val="22"/>
        </w:rPr>
        <w:t>14.889,63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89,45</w:t>
      </w:r>
      <w:r w:rsidRPr="002E44F9">
        <w:rPr>
          <w:color w:val="auto"/>
          <w:sz w:val="22"/>
          <w:szCs w:val="22"/>
        </w:rPr>
        <w:t>% u odnosu na planirano. Ovaj rashod čine bankarske usluge i usluge platnog prometa.</w:t>
      </w:r>
    </w:p>
    <w:p w:rsidR="00E920CB" w:rsidRPr="000A3733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A3733">
        <w:rPr>
          <w:color w:val="auto"/>
          <w:sz w:val="22"/>
          <w:szCs w:val="22"/>
        </w:rPr>
        <w:t xml:space="preserve">Pomoći dane u inozemstvo i unutar opće države </w:t>
      </w:r>
      <w:r>
        <w:rPr>
          <w:color w:val="auto"/>
          <w:sz w:val="22"/>
          <w:szCs w:val="22"/>
        </w:rPr>
        <w:t>iznose 6.000,00 kn ili 100,00% od planiranog a odnose se na sufinanciranje borbe protiv ovisnosti od alkohola i droge, te troškova prijevoza umirovljenika.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>
        <w:rPr>
          <w:color w:val="auto"/>
          <w:sz w:val="22"/>
          <w:szCs w:val="22"/>
        </w:rPr>
        <w:t>95.675,34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88,63</w:t>
      </w:r>
      <w:r w:rsidRPr="002E44F9">
        <w:rPr>
          <w:color w:val="auto"/>
          <w:sz w:val="22"/>
          <w:szCs w:val="22"/>
        </w:rPr>
        <w:t>%. Najveći dio sredstava odnose se na sufinanciranje cijene karata za prijevoza srednjoškolaca, troškove stanovanja, naknade za svako novorođeno dijete, jednokratne pomoći</w:t>
      </w:r>
      <w:r>
        <w:rPr>
          <w:color w:val="auto"/>
          <w:sz w:val="22"/>
          <w:szCs w:val="22"/>
        </w:rPr>
        <w:t xml:space="preserve">, naknade za  sufinanciranje udžbenika učenicima OŠ, naknade za </w:t>
      </w:r>
      <w:proofErr w:type="spellStart"/>
      <w:r>
        <w:rPr>
          <w:color w:val="auto"/>
          <w:sz w:val="22"/>
          <w:szCs w:val="22"/>
        </w:rPr>
        <w:t>ogrijev</w:t>
      </w:r>
      <w:proofErr w:type="spellEnd"/>
      <w:r>
        <w:rPr>
          <w:color w:val="auto"/>
          <w:sz w:val="22"/>
          <w:szCs w:val="22"/>
        </w:rPr>
        <w:t>, kupovinu božićnih paketića za predškols</w:t>
      </w:r>
      <w:r w:rsidR="009F4AE8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u i školsku djecu</w:t>
      </w:r>
      <w:r w:rsidRPr="002E44F9">
        <w:rPr>
          <w:color w:val="auto"/>
          <w:sz w:val="22"/>
          <w:szCs w:val="22"/>
        </w:rPr>
        <w:t>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Ostali rashodi realizirani su u iznosu od </w:t>
      </w:r>
      <w:r>
        <w:rPr>
          <w:color w:val="auto"/>
          <w:sz w:val="22"/>
          <w:szCs w:val="22"/>
        </w:rPr>
        <w:t>450.610,99 kn ili 116,78</w:t>
      </w:r>
      <w:r w:rsidRPr="002E44F9">
        <w:rPr>
          <w:color w:val="auto"/>
          <w:sz w:val="22"/>
          <w:szCs w:val="22"/>
        </w:rPr>
        <w:t>%. Odnose  se na tekuće donacije u novcu udrugama građana, neprofitnim orga</w:t>
      </w:r>
      <w:r>
        <w:rPr>
          <w:color w:val="auto"/>
          <w:sz w:val="22"/>
          <w:szCs w:val="22"/>
        </w:rPr>
        <w:t xml:space="preserve">nizacijama, DVD-u, naknade štete pravnim i fizičkim osobama </w:t>
      </w:r>
      <w:r w:rsidRPr="002E44F9">
        <w:rPr>
          <w:color w:val="auto"/>
          <w:sz w:val="22"/>
          <w:szCs w:val="22"/>
        </w:rPr>
        <w:t xml:space="preserve"> i sl.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05984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005984">
        <w:rPr>
          <w:b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6559C8"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920CB" w:rsidRPr="002E44F9" w:rsidRDefault="00E920CB" w:rsidP="006559C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E44F9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Plan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Izvršenje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 xml:space="preserve">01. -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2E44F9">
              <w:rPr>
                <w:rFonts w:ascii="Times New Roman" w:hAnsi="Times New Roman" w:cs="Times New Roman"/>
                <w:b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Indeks</w:t>
            </w:r>
          </w:p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920CB" w:rsidRPr="002E44F9" w:rsidTr="006559C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6559C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3.133.110,00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755.770,07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94797A" w:rsidTr="006559C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94797A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94797A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3.133.110,00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94797A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755.770,07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94797A" w:rsidRDefault="00E920CB" w:rsidP="006559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24,12%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bCs/>
          <w:color w:val="FF0000"/>
          <w:sz w:val="22"/>
          <w:szCs w:val="22"/>
        </w:rPr>
      </w:pPr>
    </w:p>
    <w:p w:rsidR="00E920CB" w:rsidRPr="00005984" w:rsidRDefault="00E920CB" w:rsidP="00E920C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005984">
        <w:rPr>
          <w:color w:val="auto"/>
          <w:sz w:val="22"/>
          <w:szCs w:val="22"/>
        </w:rPr>
        <w:t xml:space="preserve">Rashodi za nabavu proizvedenu dugotrajnu imovinu realizirani su u iznosu od </w:t>
      </w:r>
      <w:r>
        <w:rPr>
          <w:color w:val="auto"/>
          <w:sz w:val="22"/>
          <w:szCs w:val="22"/>
        </w:rPr>
        <w:t>755.770,07</w:t>
      </w:r>
      <w:r w:rsidRPr="00005984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24,12</w:t>
      </w:r>
      <w:r w:rsidRPr="00005984">
        <w:rPr>
          <w:color w:val="auto"/>
          <w:sz w:val="22"/>
          <w:szCs w:val="22"/>
        </w:rPr>
        <w:t xml:space="preserve">% od  planiranih. Rashodi se odnose na </w:t>
      </w:r>
      <w:r>
        <w:rPr>
          <w:color w:val="auto"/>
          <w:sz w:val="22"/>
          <w:szCs w:val="22"/>
        </w:rPr>
        <w:t xml:space="preserve">Izgradnju septičke jame za Dom kulture </w:t>
      </w:r>
      <w:proofErr w:type="spellStart"/>
      <w:r>
        <w:rPr>
          <w:color w:val="auto"/>
          <w:sz w:val="22"/>
          <w:szCs w:val="22"/>
        </w:rPr>
        <w:t>Čakovci</w:t>
      </w:r>
      <w:proofErr w:type="spellEnd"/>
      <w:r>
        <w:rPr>
          <w:color w:val="auto"/>
          <w:sz w:val="22"/>
          <w:szCs w:val="22"/>
        </w:rPr>
        <w:t xml:space="preserve">, Elaborat i troškovnik  za rekonstrukciju  zdravstvene ambulante u Novom domu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priključak na vodovodnu  i </w:t>
      </w:r>
      <w:proofErr w:type="spellStart"/>
      <w:r>
        <w:rPr>
          <w:color w:val="auto"/>
          <w:sz w:val="22"/>
          <w:szCs w:val="22"/>
        </w:rPr>
        <w:t>elektro</w:t>
      </w:r>
      <w:proofErr w:type="spellEnd"/>
      <w:r>
        <w:rPr>
          <w:color w:val="auto"/>
          <w:sz w:val="22"/>
          <w:szCs w:val="22"/>
        </w:rPr>
        <w:t xml:space="preserve"> mrežu sportske </w:t>
      </w:r>
      <w:proofErr w:type="spellStart"/>
      <w:r>
        <w:rPr>
          <w:color w:val="auto"/>
          <w:sz w:val="22"/>
          <w:szCs w:val="22"/>
        </w:rPr>
        <w:t>svlačione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Rekonstrukciju ceste u </w:t>
      </w:r>
      <w:proofErr w:type="spellStart"/>
      <w:r>
        <w:rPr>
          <w:color w:val="auto"/>
          <w:sz w:val="22"/>
          <w:szCs w:val="22"/>
        </w:rPr>
        <w:t>Berku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Mikluševcima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Tompojevcima</w:t>
      </w:r>
      <w:proofErr w:type="spellEnd"/>
      <w:r>
        <w:rPr>
          <w:color w:val="auto"/>
          <w:sz w:val="22"/>
          <w:szCs w:val="22"/>
        </w:rPr>
        <w:t xml:space="preserve">, za izradu projektne dokumentacije za Društvenu zgradu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izradu projektne dokumentacije racionalne uporabe energije i toplinske izolacije Općinske zgrade, Doma kulture </w:t>
      </w:r>
      <w:proofErr w:type="spellStart"/>
      <w:r>
        <w:rPr>
          <w:color w:val="auto"/>
          <w:sz w:val="22"/>
          <w:szCs w:val="22"/>
        </w:rPr>
        <w:t>Čakovci</w:t>
      </w:r>
      <w:proofErr w:type="spellEnd"/>
      <w:r>
        <w:rPr>
          <w:color w:val="auto"/>
          <w:sz w:val="22"/>
          <w:szCs w:val="22"/>
        </w:rPr>
        <w:t xml:space="preserve">, Doma kulture </w:t>
      </w:r>
      <w:proofErr w:type="spellStart"/>
      <w:r>
        <w:rPr>
          <w:color w:val="auto"/>
          <w:sz w:val="22"/>
          <w:szCs w:val="22"/>
        </w:rPr>
        <w:t>Bokšić</w:t>
      </w:r>
      <w:proofErr w:type="spellEnd"/>
      <w:r>
        <w:rPr>
          <w:color w:val="auto"/>
          <w:sz w:val="22"/>
          <w:szCs w:val="22"/>
        </w:rPr>
        <w:t xml:space="preserve">, kupovinu opreme za sve mrtvačnice (5 </w:t>
      </w:r>
      <w:proofErr w:type="spellStart"/>
      <w:r>
        <w:rPr>
          <w:color w:val="auto"/>
          <w:sz w:val="22"/>
          <w:szCs w:val="22"/>
        </w:rPr>
        <w:t>odrova</w:t>
      </w:r>
      <w:proofErr w:type="spellEnd"/>
      <w:r>
        <w:rPr>
          <w:color w:val="auto"/>
          <w:sz w:val="22"/>
          <w:szCs w:val="22"/>
        </w:rPr>
        <w:t xml:space="preserve"> i 72 stolice).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Ra</w:t>
      </w:r>
      <w:r>
        <w:rPr>
          <w:color w:val="auto"/>
          <w:sz w:val="22"/>
          <w:szCs w:val="22"/>
        </w:rPr>
        <w:t xml:space="preserve">shodi/izdaci u </w:t>
      </w:r>
      <w:r w:rsidRPr="00E90FA1">
        <w:rPr>
          <w:color w:val="auto"/>
          <w:sz w:val="22"/>
          <w:szCs w:val="22"/>
        </w:rPr>
        <w:t xml:space="preserve"> 2017. g. realizirani su u iznosu </w:t>
      </w:r>
      <w:r>
        <w:rPr>
          <w:bCs/>
          <w:color w:val="auto"/>
          <w:sz w:val="22"/>
          <w:szCs w:val="22"/>
        </w:rPr>
        <w:t>3.198.496,43 kn ili 52,71</w:t>
      </w:r>
      <w:r w:rsidRPr="00E90FA1">
        <w:rPr>
          <w:bCs/>
          <w:color w:val="auto"/>
          <w:sz w:val="22"/>
          <w:szCs w:val="22"/>
        </w:rPr>
        <w:t xml:space="preserve"> % </w:t>
      </w:r>
      <w:r w:rsidRPr="00E90FA1">
        <w:rPr>
          <w:color w:val="auto"/>
          <w:sz w:val="22"/>
          <w:szCs w:val="22"/>
        </w:rPr>
        <w:t xml:space="preserve">godišnjeg plana.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920CB" w:rsidRPr="00F2522F" w:rsidTr="006559C8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920CB" w:rsidRPr="00F2522F" w:rsidTr="006559C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920CB" w:rsidRPr="00354FA1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920CB" w:rsidRPr="00F2522F" w:rsidTr="006559C8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F2522F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A100103  Izbori predstavničkih i izvršnih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tjela</w:t>
                  </w:r>
                  <w:proofErr w:type="spellEnd"/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>
                    <w:rPr>
                      <w:color w:val="auto"/>
                      <w:sz w:val="22"/>
                      <w:szCs w:val="22"/>
                    </w:rPr>
                    <w:t>275.949,20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E920CB" w:rsidRPr="00354FA1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Pr="00354FA1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>
                    <w:rPr>
                      <w:color w:val="auto"/>
                      <w:sz w:val="22"/>
                      <w:szCs w:val="22"/>
                    </w:rPr>
                    <w:t>147.736,22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95,65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za redovan rad opći</w:t>
                  </w:r>
                  <w:r>
                    <w:rPr>
                      <w:color w:val="auto"/>
                      <w:sz w:val="22"/>
                      <w:szCs w:val="22"/>
                    </w:rPr>
                    <w:t>nskog vijeća (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naknade članovima općinskog vijeća, rashode reprezentacije), rashode za redovan rad političkih stranaka, te rashode za lokalne izbore.</w:t>
                  </w:r>
                </w:p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354FA1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E920CB" w:rsidRPr="00354FA1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>
                    <w:rPr>
                      <w:color w:val="auto"/>
                      <w:sz w:val="22"/>
                      <w:szCs w:val="22"/>
                    </w:rPr>
                    <w:t>iziran je u iznosu od  128.212,98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87,22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po mjesnim odborima ( p</w:t>
                  </w:r>
                  <w:r>
                    <w:rPr>
                      <w:color w:val="auto"/>
                      <w:sz w:val="22"/>
                      <w:szCs w:val="22"/>
                    </w:rPr>
                    <w:t>o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trošnju plina, električna energija, materijal za tekuće i inv. održavanje komunalne usluge, naknade za rad predsjednicima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 članovima vijeća mjesnog </w:t>
                  </w:r>
                  <w:proofErr w:type="spellStart"/>
                  <w:r>
                    <w:rPr>
                      <w:color w:val="auto"/>
                      <w:sz w:val="22"/>
                      <w:szCs w:val="22"/>
                    </w:rPr>
                    <w:t>odbora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i</w:t>
                  </w:r>
                  <w:proofErr w:type="spellEnd"/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sl.).</w:t>
                  </w:r>
                </w:p>
                <w:p w:rsidR="00E920CB" w:rsidRPr="00354FA1" w:rsidRDefault="00E920CB" w:rsidP="006559C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E920CB" w:rsidRPr="00354FA1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6559C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6559C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F2522F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002  OPĆINSKI NAČELNIK</w:t>
                        </w:r>
                      </w:p>
                    </w:tc>
                  </w:tr>
                  <w:tr w:rsidR="00E920CB" w:rsidRPr="00F2522F" w:rsidTr="006559C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E920CB" w:rsidRPr="00F2522F" w:rsidTr="006559C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E920CB" w:rsidRPr="00F2522F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E920CB" w:rsidRPr="00F2522F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F2522F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E920CB" w:rsidRPr="000C5D56" w:rsidRDefault="00E920CB" w:rsidP="006559C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B40726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>
                    <w:rPr>
                      <w:rFonts w:ascii="Times New Roman" w:hAnsi="Times New Roman" w:cs="Times New Roman"/>
                    </w:rPr>
                    <w:t xml:space="preserve">zirano je 301.781,49 kn ili 70,68%. </w:t>
                  </w:r>
                  <w:r w:rsidRPr="0002009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na plaće 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i naknade za zaposlene, rashode za službena putovanja, </w:t>
                  </w:r>
                  <w:r>
                    <w:rPr>
                      <w:rFonts w:ascii="Times New Roman" w:hAnsi="Times New Roman" w:cs="Times New Roman"/>
                    </w:rPr>
                    <w:t>naknade  dužnosnika,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  premije osiguranja,  reprezentaciju,  režijske  rashode i sl.</w:t>
                  </w:r>
                </w:p>
                <w:p w:rsidR="00E920CB" w:rsidRPr="00B40726" w:rsidRDefault="00E920CB" w:rsidP="006559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Osiguranje sredstva za redovno obavljanje zadataka.</w:t>
                  </w: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projekata.</w:t>
                  </w: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odjela.</w:t>
                  </w: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E920CB" w:rsidRPr="007D1A7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Programi i projekti – nisu realizirani</w:t>
                  </w:r>
                </w:p>
                <w:p w:rsidR="00E920CB" w:rsidRPr="007D1A7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94567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C46A6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E920CB" w:rsidRPr="00B94567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</w:t>
                  </w:r>
                  <w:r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življenja na području općine.</w:t>
                  </w:r>
                </w:p>
                <w:p w:rsidR="00E920CB" w:rsidRPr="008224C3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>
                    <w:rPr>
                      <w:rFonts w:ascii="Times New Roman" w:hAnsi="Times New Roman" w:cs="Times New Roman"/>
                    </w:rPr>
                    <w:t xml:space="preserve">. Program: Dani stradanja 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 realiziran </w:t>
                  </w:r>
                  <w:r>
                    <w:rPr>
                      <w:rFonts w:ascii="Times New Roman" w:hAnsi="Times New Roman" w:cs="Times New Roman"/>
                    </w:rPr>
                    <w:t>je u iznosu od 7.259,13 kn ili 19,46% od  planiranog</w:t>
                  </w:r>
                </w:p>
                <w:p w:rsidR="00E920CB" w:rsidRPr="00B4072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691AF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B40726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B40726">
                    <w:rPr>
                      <w:rFonts w:ascii="Times New Roman" w:hAnsi="Times New Roman" w:cs="Times New Roman"/>
                    </w:rPr>
                    <w:t xml:space="preserve"> u Domovinskom ratu putem  dana sjećanja, komemoracija i memorijala.</w:t>
                  </w: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A300402  Dom kulture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K200802  Društveni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K200805 Novi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K200806 Općinska zgrada</w:t>
                  </w:r>
                </w:p>
                <w:p w:rsidR="00E920CB" w:rsidRPr="00B869B4" w:rsidRDefault="009F4AE8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svlač</w:t>
                  </w:r>
                  <w:r w:rsidR="00E920CB">
                    <w:rPr>
                      <w:rFonts w:ascii="Times New Roman" w:hAnsi="Times New Roman" w:cs="Times New Roman"/>
                    </w:rPr>
                    <w:t>ona</w:t>
                  </w:r>
                  <w:proofErr w:type="spellEnd"/>
                  <w:r w:rsidR="00E920C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920CB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B869B4">
                    <w:rPr>
                      <w:rFonts w:ascii="Times New Roman" w:hAnsi="Times New Roman" w:cs="Times New Roman"/>
                    </w:rPr>
                    <w:t xml:space="preserve"> Program: Građevinski objekti – realizirana</w:t>
                  </w:r>
                  <w:r>
                    <w:rPr>
                      <w:rFonts w:ascii="Times New Roman" w:hAnsi="Times New Roman" w:cs="Times New Roman"/>
                    </w:rPr>
                    <w:t xml:space="preserve"> je u iznosu od 106.567,17 kn ili 5,40</w:t>
                  </w:r>
                  <w:r w:rsidRPr="00B869B4">
                    <w:rPr>
                      <w:rFonts w:ascii="Times New Roman" w:hAnsi="Times New Roman" w:cs="Times New Roman"/>
                    </w:rPr>
                    <w:t>% od pla</w:t>
                  </w:r>
                  <w:r>
                    <w:rPr>
                      <w:rFonts w:ascii="Times New Roman" w:hAnsi="Times New Roman" w:cs="Times New Roman"/>
                    </w:rPr>
                    <w:t>niranog. Odnosi se</w:t>
                  </w:r>
                  <w:r w:rsidRPr="00354C22">
                    <w:rPr>
                      <w:rFonts w:ascii="Times New Roman" w:hAnsi="Times New Roman" w:cs="Times New Roman"/>
                    </w:rPr>
                    <w:t xml:space="preserve">  na Izgradnju septičke jame za Dom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Elaborat i troškovnik  za rekonstrukciju  zdravstvene ambulante u Novom domu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priključak na vodovodnu </w:t>
                  </w:r>
                  <w:r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elektro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mrežu sportske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svlačione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 za izradu projektne dokumentacije za Društvenu zgradu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izradu projektne dokumentacije racionalne uporabe energije i toplinske izolacije Općinske zgrade, Doma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Doma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</w:p>
                <w:p w:rsidR="00E920CB" w:rsidRPr="00B869B4" w:rsidRDefault="00E920CB" w:rsidP="006559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DA56A5" w:rsidRDefault="00E920CB" w:rsidP="006559C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rad.</w:t>
                  </w:r>
                </w:p>
                <w:p w:rsidR="00E920CB" w:rsidRPr="000C5D56" w:rsidRDefault="00E920CB" w:rsidP="006559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Dom kulture u </w:t>
                  </w:r>
                  <w:proofErr w:type="spellStart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renoviran i stavljen u funkciju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, renovirana zdravstvena ambulanta 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Mikluševcima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stavljena 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funkcij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, pripremljena  projektna dokumentacija za natječaje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</w:t>
                  </w:r>
                </w:p>
              </w:tc>
            </w:tr>
            <w:tr w:rsidR="00E920CB" w:rsidRPr="00F2522F" w:rsidTr="006559C8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6559C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0B5B8C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E920CB" w:rsidRPr="00F2522F" w:rsidTr="006559C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0B5B8C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E920CB" w:rsidRPr="00F2522F" w:rsidTr="006559C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6559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0B5B8C" w:rsidTr="006559C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0B5B8C" w:rsidRDefault="00E920CB" w:rsidP="00655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B5B8C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920CB" w:rsidRPr="00F2522F" w:rsidRDefault="00E920CB" w:rsidP="0065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E920CB" w:rsidRPr="004D6A76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>
        <w:rPr>
          <w:rFonts w:ascii="Times New Roman" w:eastAsia="Times New Roman" w:hAnsi="Times New Roman" w:cs="Times New Roman"/>
          <w:lang w:eastAsia="hr-HR"/>
        </w:rPr>
        <w:t>iznosu od 552.830,46 kn ili 75,69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%. Rashodi se odnose </w:t>
      </w:r>
      <w:r>
        <w:rPr>
          <w:rFonts w:ascii="Times New Roman" w:eastAsia="Times New Roman" w:hAnsi="Times New Roman" w:cs="Times New Roman"/>
          <w:lang w:eastAsia="hr-HR"/>
        </w:rPr>
        <w:t xml:space="preserve">na plaće </w:t>
      </w:r>
      <w:r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>
        <w:rPr>
          <w:rFonts w:ascii="Times New Roman" w:hAnsi="Times New Roman" w:cs="Times New Roman"/>
        </w:rPr>
        <w:t>, rashode za djelatnike stručnog osposobljavanja</w:t>
      </w:r>
      <w:r w:rsidRPr="00020095">
        <w:rPr>
          <w:rFonts w:ascii="Times New Roman" w:hAnsi="Times New Roman" w:cs="Times New Roman"/>
        </w:rPr>
        <w:t xml:space="preserve"> i sl.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920CB" w:rsidRPr="00093EC3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Socijalna skrb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Pomoć za podmirenje troškova stanovanja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og</w:t>
      </w:r>
      <w:r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>
        <w:rPr>
          <w:rFonts w:ascii="Times New Roman" w:hAnsi="Times New Roman" w:cs="Times New Roman"/>
        </w:rPr>
        <w:t xml:space="preserve"> realiziran je u iznosu od 98.675,34 kn ili88,94</w:t>
      </w:r>
      <w:r w:rsidRPr="00020095">
        <w:rPr>
          <w:rFonts w:ascii="Times New Roman" w:hAnsi="Times New Roman" w:cs="Times New Roman"/>
        </w:rPr>
        <w:t xml:space="preserve"> %, Ovaj program uključuje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Pomoć za podmirenje troškova stanovanja r</w:t>
      </w:r>
      <w:r>
        <w:rPr>
          <w:rFonts w:ascii="Times New Roman" w:hAnsi="Times New Roman" w:cs="Times New Roman"/>
        </w:rPr>
        <w:t>ealizirana je u iznosu  23.827,40 kn  ili 99,28</w:t>
      </w:r>
      <w:r w:rsidRPr="00020095">
        <w:rPr>
          <w:rFonts w:ascii="Times New Roman" w:hAnsi="Times New Roman" w:cs="Times New Roman"/>
        </w:rPr>
        <w:t xml:space="preserve"> %.  Ova aktivnost</w:t>
      </w:r>
      <w:r>
        <w:rPr>
          <w:rFonts w:ascii="Times New Roman" w:hAnsi="Times New Roman" w:cs="Times New Roman"/>
        </w:rPr>
        <w:t xml:space="preserve">  uključuje </w:t>
      </w:r>
      <w:r w:rsidRPr="00020095">
        <w:rPr>
          <w:rFonts w:ascii="Times New Roman" w:hAnsi="Times New Roman" w:cs="Times New Roman"/>
        </w:rPr>
        <w:t xml:space="preserve"> naknade za socijalno ugrožene osobe.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>
        <w:rPr>
          <w:rFonts w:ascii="Times New Roman" w:hAnsi="Times New Roman" w:cs="Times New Roman"/>
        </w:rPr>
        <w:t>izirane su u iznosu od 54.897,94</w:t>
      </w:r>
      <w:r w:rsidRPr="00020095">
        <w:rPr>
          <w:rFonts w:ascii="Times New Roman" w:hAnsi="Times New Roman" w:cs="Times New Roman"/>
        </w:rPr>
        <w:t xml:space="preserve"> kn ili </w:t>
      </w:r>
      <w:r>
        <w:rPr>
          <w:rFonts w:ascii="Times New Roman" w:hAnsi="Times New Roman" w:cs="Times New Roman"/>
        </w:rPr>
        <w:t xml:space="preserve">81,94 %,  </w:t>
      </w:r>
      <w:r w:rsidRPr="006E0B01">
        <w:rPr>
          <w:rFonts w:ascii="Times New Roman" w:hAnsi="Times New Roman" w:cs="Times New Roman"/>
        </w:rPr>
        <w:t>uključuje sufinanciranje borbe protiv ovisnosti od alkohola i droge,  pomoći za novorođenu djecu, jednokratne pomoći</w:t>
      </w:r>
      <w:r>
        <w:rPr>
          <w:rFonts w:ascii="Times New Roman" w:hAnsi="Times New Roman" w:cs="Times New Roman"/>
        </w:rPr>
        <w:t>,</w:t>
      </w:r>
      <w:r w:rsidRPr="006E0B01">
        <w:rPr>
          <w:rFonts w:ascii="Times New Roman" w:hAnsi="Times New Roman" w:cs="Times New Roman"/>
        </w:rPr>
        <w:t xml:space="preserve"> naknade za  sufinanciranje udžbenika učenicima OŠ, kupovinu božićnih paketića za </w:t>
      </w:r>
      <w:proofErr w:type="spellStart"/>
      <w:r w:rsidRPr="006E0B01">
        <w:rPr>
          <w:rFonts w:ascii="Times New Roman" w:hAnsi="Times New Roman" w:cs="Times New Roman"/>
        </w:rPr>
        <w:t>predškolsu</w:t>
      </w:r>
      <w:proofErr w:type="spellEnd"/>
      <w:r w:rsidRPr="006E0B01">
        <w:rPr>
          <w:rFonts w:ascii="Times New Roman" w:hAnsi="Times New Roman" w:cs="Times New Roman"/>
        </w:rPr>
        <w:t xml:space="preserve"> i školsku djecu i sufinanciranje karata za prijevoz  srednjoškolaca.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B01">
        <w:rPr>
          <w:rFonts w:ascii="Times New Roman" w:hAnsi="Times New Roman" w:cs="Times New Roman"/>
        </w:rPr>
        <w:t>c). Pomoć za ogrjev</w:t>
      </w:r>
      <w:r>
        <w:rPr>
          <w:rFonts w:ascii="Times New Roman" w:hAnsi="Times New Roman" w:cs="Times New Roman"/>
        </w:rPr>
        <w:t xml:space="preserve"> realiziran je u iznosu od 19.950 kn odnosi se na </w:t>
      </w:r>
      <w:r w:rsidRPr="006E0B01">
        <w:rPr>
          <w:rFonts w:ascii="Times New Roman" w:hAnsi="Times New Roman" w:cs="Times New Roman"/>
        </w:rPr>
        <w:t xml:space="preserve"> naknade za </w:t>
      </w:r>
      <w:proofErr w:type="spellStart"/>
      <w:r w:rsidRPr="006E0B01">
        <w:rPr>
          <w:rFonts w:ascii="Times New Roman" w:hAnsi="Times New Roman" w:cs="Times New Roman"/>
        </w:rPr>
        <w:t>ogrijev</w:t>
      </w:r>
      <w:proofErr w:type="spellEnd"/>
      <w:r>
        <w:rPr>
          <w:rFonts w:ascii="Times New Roman" w:hAnsi="Times New Roman" w:cs="Times New Roman"/>
        </w:rPr>
        <w:t xml:space="preserve"> ( 21 osoba)</w:t>
      </w:r>
      <w:r w:rsidRPr="006E0B01">
        <w:rPr>
          <w:rFonts w:ascii="Times New Roman" w:hAnsi="Times New Roman" w:cs="Times New Roman"/>
        </w:rPr>
        <w:t>,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Pomagati obiteljima slabijeg imovnog stanja u vidu plaćanja režijskih troškova,  podjele jednokratnih pomoći i pomoći za kupovinu ogrjeva,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</w:t>
      </w:r>
      <w:r>
        <w:rPr>
          <w:rFonts w:ascii="Times New Roman" w:eastAsia="Times New Roman" w:hAnsi="Times New Roman" w:cs="Times New Roman"/>
          <w:lang w:eastAsia="hr-HR"/>
        </w:rPr>
        <w:t>je karata svim srednjoškolcima,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pomoć za  svako  novorođeno dijete</w:t>
      </w:r>
      <w:r>
        <w:rPr>
          <w:rFonts w:ascii="Times New Roman" w:eastAsia="Times New Roman" w:hAnsi="Times New Roman" w:cs="Times New Roman"/>
          <w:lang w:eastAsia="hr-HR"/>
        </w:rPr>
        <w:t xml:space="preserve"> i sl.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E920CB" w:rsidRPr="003174F2" w:rsidRDefault="00E920CB" w:rsidP="00E920CB">
      <w:pPr>
        <w:spacing w:after="0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3003  Održavanje komunalne infrastrukture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Aktivnost A300304 </w:t>
      </w:r>
      <w:r w:rsidRPr="00020095">
        <w:rPr>
          <w:rFonts w:ascii="Times New Roman" w:hAnsi="Times New Roman" w:cs="Times New Roman"/>
        </w:rPr>
        <w:t xml:space="preserve">Održavanje nerazvrstanih cesta </w:t>
      </w:r>
      <w:r>
        <w:rPr>
          <w:rFonts w:ascii="Times New Roman" w:hAnsi="Times New Roman" w:cs="Times New Roman"/>
        </w:rPr>
        <w:t>u zimskom razdoblju</w:t>
      </w:r>
    </w:p>
    <w:p w:rsidR="00E920CB" w:rsidRPr="00020095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</w:t>
      </w:r>
      <w:r w:rsidRPr="00020095">
        <w:rPr>
          <w:rFonts w:ascii="Times New Roman" w:hAnsi="Times New Roman" w:cs="Times New Roman"/>
        </w:rPr>
        <w:t xml:space="preserve">  Održavanje nerazvrstanih cesta</w:t>
      </w:r>
      <w:r w:rsidRPr="00E8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 i izvanredno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E920CB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  Održavanje javne površine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Pr="00020095">
        <w:rPr>
          <w:rFonts w:ascii="Times New Roman" w:hAnsi="Times New Roman" w:cs="Times New Roman"/>
        </w:rPr>
        <w:t xml:space="preserve"> groblja</w:t>
      </w:r>
    </w:p>
    <w:p w:rsidR="00E920CB" w:rsidRPr="003C251F" w:rsidRDefault="00E920CB" w:rsidP="00E920CB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>
        <w:rPr>
          <w:rFonts w:ascii="Times New Roman" w:eastAsia="Times New Roman" w:hAnsi="Times New Roman" w:cs="Times New Roman"/>
          <w:lang w:eastAsia="hr-HR"/>
        </w:rPr>
        <w:t>su od 760.934,85 kn ili 70,99 % od planiranog.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>
        <w:rPr>
          <w:rFonts w:ascii="Times New Roman" w:hAnsi="Times New Roman" w:cs="Times New Roman"/>
        </w:rPr>
        <w:t xml:space="preserve"> je u iznosu od 6.570,38 kn  ili 65,70</w:t>
      </w:r>
      <w:r w:rsidRPr="00020095">
        <w:rPr>
          <w:rFonts w:ascii="Times New Roman" w:hAnsi="Times New Roman" w:cs="Times New Roman"/>
        </w:rPr>
        <w:t xml:space="preserve"> % rashodi se od</w:t>
      </w:r>
      <w:r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E85EC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Održavanje nerazvrstanih cesta</w:t>
      </w:r>
      <w:r>
        <w:rPr>
          <w:rFonts w:ascii="Times New Roman" w:hAnsi="Times New Roman" w:cs="Times New Roman"/>
        </w:rPr>
        <w:t xml:space="preserve"> redovno i izvanredno – nije realizirano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20095">
        <w:rPr>
          <w:rFonts w:ascii="Times New Roman" w:hAnsi="Times New Roman" w:cs="Times New Roman"/>
        </w:rPr>
        <w:t>). Održavanje javne rasvjete – real</w:t>
      </w:r>
      <w:r>
        <w:rPr>
          <w:rFonts w:ascii="Times New Roman" w:hAnsi="Times New Roman" w:cs="Times New Roman"/>
        </w:rPr>
        <w:t>izirana je u iznosu od 72.831,67 kn ili 97,11</w:t>
      </w:r>
      <w:r w:rsidRPr="00020095">
        <w:rPr>
          <w:rFonts w:ascii="Times New Roman" w:hAnsi="Times New Roman" w:cs="Times New Roman"/>
        </w:rPr>
        <w:t xml:space="preserve"> %, rashodi se odnose na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potrošnju električne en</w:t>
      </w:r>
      <w:r>
        <w:rPr>
          <w:rFonts w:ascii="Times New Roman" w:hAnsi="Times New Roman" w:cs="Times New Roman"/>
        </w:rPr>
        <w:t>e</w:t>
      </w:r>
      <w:r w:rsidRPr="00020095">
        <w:rPr>
          <w:rFonts w:ascii="Times New Roman" w:hAnsi="Times New Roman" w:cs="Times New Roman"/>
        </w:rPr>
        <w:t xml:space="preserve">rgije za javnu </w:t>
      </w:r>
      <w:r>
        <w:rPr>
          <w:rFonts w:ascii="Times New Roman" w:hAnsi="Times New Roman" w:cs="Times New Roman"/>
        </w:rPr>
        <w:t xml:space="preserve">rasvjetu i </w:t>
      </w:r>
      <w:proofErr w:type="spellStart"/>
      <w:r>
        <w:rPr>
          <w:rFonts w:ascii="Times New Roman" w:hAnsi="Times New Roman" w:cs="Times New Roman"/>
        </w:rPr>
        <w:t>izm</w:t>
      </w:r>
      <w:r w:rsidR="009F4A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eštanje</w:t>
      </w:r>
      <w:proofErr w:type="spellEnd"/>
      <w:r>
        <w:rPr>
          <w:rFonts w:ascii="Times New Roman" w:hAnsi="Times New Roman" w:cs="Times New Roman"/>
        </w:rPr>
        <w:t xml:space="preserve"> mjernog mjesta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>,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20095">
        <w:rPr>
          <w:rFonts w:ascii="Times New Roman" w:hAnsi="Times New Roman" w:cs="Times New Roman"/>
        </w:rPr>
        <w:t>). Odr</w:t>
      </w:r>
      <w:r>
        <w:rPr>
          <w:rFonts w:ascii="Times New Roman" w:hAnsi="Times New Roman" w:cs="Times New Roman"/>
        </w:rPr>
        <w:t xml:space="preserve">žavanje javne površine </w:t>
      </w:r>
      <w:r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649.671,08 kn ili 69,86</w:t>
      </w:r>
      <w:r w:rsidRPr="00020095">
        <w:rPr>
          <w:rFonts w:ascii="Times New Roman" w:hAnsi="Times New Roman" w:cs="Times New Roman"/>
        </w:rPr>
        <w:t xml:space="preserve"> %, uključuje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 xml:space="preserve"> rashode za</w:t>
      </w:r>
      <w:r>
        <w:rPr>
          <w:rFonts w:ascii="Times New Roman" w:hAnsi="Times New Roman" w:cs="Times New Roman"/>
        </w:rPr>
        <w:t xml:space="preserve"> ugovor o djelu, rashode za </w:t>
      </w:r>
      <w:r w:rsidRPr="00020095">
        <w:rPr>
          <w:rFonts w:ascii="Times New Roman" w:hAnsi="Times New Roman" w:cs="Times New Roman"/>
        </w:rPr>
        <w:t xml:space="preserve">  zaposlene, materijal za inv. održavanje strojeva, te usluge za inv. održavanje istih, motorni benzin</w:t>
      </w:r>
      <w:r>
        <w:rPr>
          <w:rFonts w:ascii="Times New Roman" w:hAnsi="Times New Roman" w:cs="Times New Roman"/>
        </w:rPr>
        <w:t>, obvezan zdravstveni pregled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djelatnika te osposobljavanje za rad istih </w:t>
      </w:r>
      <w:r w:rsidRPr="00020095">
        <w:rPr>
          <w:rFonts w:ascii="Times New Roman" w:hAnsi="Times New Roman" w:cs="Times New Roman"/>
        </w:rPr>
        <w:t>i sl.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e).Održavanje groblja –realizirano je u iznosu od 31.861,72 kn ili 90,52%</w:t>
      </w:r>
      <w:r w:rsidRPr="003C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uključuje rashode za režijske troškove mrtvačnica, odvoz i pražnjenje kontejnera na grobljima, </w:t>
      </w:r>
      <w:r w:rsidRPr="00020095">
        <w:rPr>
          <w:rFonts w:ascii="Times New Roman" w:hAnsi="Times New Roman" w:cs="Times New Roman"/>
        </w:rPr>
        <w:t xml:space="preserve"> materijal za inv. održavanje strojeva, te usluge za inv. održavanje istih, motorni benzin i sl.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920CB" w:rsidRPr="006C26F3" w:rsidTr="006559C8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0CB" w:rsidRPr="003174F2" w:rsidRDefault="00E920CB" w:rsidP="00655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E920CB" w:rsidRPr="003C48F3" w:rsidRDefault="00E920CB" w:rsidP="00655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E920CB" w:rsidRPr="003174F2" w:rsidRDefault="00E920CB" w:rsidP="00655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 redovno održavane.</w:t>
            </w:r>
          </w:p>
          <w:p w:rsidR="00E920CB" w:rsidRPr="003174F2" w:rsidRDefault="00E920CB" w:rsidP="00655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</w:t>
      </w:r>
      <w:r>
        <w:rPr>
          <w:rFonts w:ascii="Times New Roman" w:eastAsia="Times New Roman" w:hAnsi="Times New Roman" w:cs="Times New Roman"/>
          <w:lang w:eastAsia="hr-HR"/>
        </w:rPr>
        <w:t>vnost K300409  Vodovodna mreža</w:t>
      </w:r>
      <w:r>
        <w:rPr>
          <w:rFonts w:ascii="Times New Roman" w:eastAsia="Times New Roman" w:hAnsi="Times New Roman" w:cs="Times New Roman"/>
          <w:lang w:eastAsia="hr-HR"/>
        </w:rPr>
        <w:tab/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K300415 Završni radovi na mrtvačnicama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realiziran je u iznosu od 649.327,13  kn  ili 56,06% od planiranog</w:t>
      </w:r>
      <w:r w:rsidRPr="001A1474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a). Nerazvrstane ceste  realizirane su u iznosu od 602.927,85 kn ili 99,03% rashodi se odnose na </w:t>
      </w:r>
      <w:r w:rsidRPr="007F2A29">
        <w:rPr>
          <w:rFonts w:ascii="Times New Roman" w:hAnsi="Times New Roman" w:cs="Times New Roman"/>
        </w:rPr>
        <w:t xml:space="preserve">Rekonstrukciju ceste u </w:t>
      </w:r>
      <w:proofErr w:type="spellStart"/>
      <w:r w:rsidRPr="007F2A29">
        <w:rPr>
          <w:rFonts w:ascii="Times New Roman" w:hAnsi="Times New Roman" w:cs="Times New Roman"/>
        </w:rPr>
        <w:t>Berku</w:t>
      </w:r>
      <w:proofErr w:type="spellEnd"/>
      <w:r w:rsidRPr="007F2A29">
        <w:rPr>
          <w:rFonts w:ascii="Times New Roman" w:hAnsi="Times New Roman" w:cs="Times New Roman"/>
        </w:rPr>
        <w:t xml:space="preserve">, </w:t>
      </w:r>
      <w:proofErr w:type="spellStart"/>
      <w:r w:rsidRPr="007F2A29">
        <w:rPr>
          <w:rFonts w:ascii="Times New Roman" w:hAnsi="Times New Roman" w:cs="Times New Roman"/>
        </w:rPr>
        <w:t>Mikluševcima</w:t>
      </w:r>
      <w:proofErr w:type="spellEnd"/>
      <w:r w:rsidRPr="007F2A29">
        <w:rPr>
          <w:rFonts w:ascii="Times New Roman" w:hAnsi="Times New Roman" w:cs="Times New Roman"/>
        </w:rPr>
        <w:t xml:space="preserve"> i </w:t>
      </w:r>
      <w:proofErr w:type="spellStart"/>
      <w:r w:rsidRPr="007F2A29">
        <w:rPr>
          <w:rFonts w:ascii="Times New Roman" w:hAnsi="Times New Roman" w:cs="Times New Roman"/>
        </w:rPr>
        <w:t>Tompojevcima</w:t>
      </w:r>
      <w:proofErr w:type="spellEnd"/>
      <w:r w:rsidRPr="007F2A29">
        <w:rPr>
          <w:rFonts w:ascii="Times New Roman" w:hAnsi="Times New Roman" w:cs="Times New Roman"/>
        </w:rPr>
        <w:t>,</w:t>
      </w: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b).</w:t>
      </w:r>
      <w:r w:rsidRPr="007F2A2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Vodovodna mreža</w:t>
      </w:r>
      <w:r>
        <w:rPr>
          <w:rFonts w:ascii="Times New Roman" w:eastAsia="Times New Roman" w:hAnsi="Times New Roman" w:cs="Times New Roman"/>
          <w:lang w:eastAsia="hr-HR"/>
        </w:rPr>
        <w:tab/>
        <w:t>- nije realizirana</w:t>
      </w:r>
    </w:p>
    <w:p w:rsidR="00E920CB" w:rsidRPr="007F2A29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c).</w:t>
      </w:r>
      <w:r w:rsidRPr="007F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Završni radovi na mrtvačnicama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realizirane su u iznosu od 46.399,28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>% rashodi se odnose na</w:t>
      </w:r>
      <w:r w:rsidRPr="007F2A29">
        <w:rPr>
          <w:rFonts w:ascii="Times New Roman" w:hAnsi="Times New Roman" w:cs="Times New Roman"/>
        </w:rPr>
        <w:t xml:space="preserve"> kupovinu opreme za sve mrtvačnice</w:t>
      </w:r>
      <w:r>
        <w:rPr>
          <w:rFonts w:ascii="Times New Roman" w:hAnsi="Times New Roman" w:cs="Times New Roman"/>
        </w:rPr>
        <w:t xml:space="preserve"> na području općine </w:t>
      </w:r>
      <w:r w:rsidRPr="007F2A29">
        <w:rPr>
          <w:rFonts w:ascii="Times New Roman" w:hAnsi="Times New Roman" w:cs="Times New Roman"/>
        </w:rPr>
        <w:t xml:space="preserve"> (5 </w:t>
      </w:r>
      <w:proofErr w:type="spellStart"/>
      <w:r w:rsidRPr="007F2A29">
        <w:rPr>
          <w:rFonts w:ascii="Times New Roman" w:hAnsi="Times New Roman" w:cs="Times New Roman"/>
        </w:rPr>
        <w:t>odrova</w:t>
      </w:r>
      <w:proofErr w:type="spellEnd"/>
      <w:r w:rsidRPr="007F2A29">
        <w:rPr>
          <w:rFonts w:ascii="Times New Roman" w:hAnsi="Times New Roman" w:cs="Times New Roman"/>
        </w:rPr>
        <w:t xml:space="preserve"> i 72 stolice).</w:t>
      </w:r>
    </w:p>
    <w:p w:rsidR="00E920CB" w:rsidRPr="007F2A29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E920CB" w:rsidRPr="00AD7B4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7B4A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AD7B4A">
        <w:rPr>
          <w:rFonts w:ascii="Times New Roman" w:eastAsia="Times New Roman" w:hAnsi="Times New Roman" w:cs="Times New Roman"/>
          <w:lang w:eastAsia="hr-HR"/>
        </w:rPr>
        <w:t>Potpisan ugovor  o sufinanciranju s Ministarstvo</w:t>
      </w:r>
      <w:r>
        <w:rPr>
          <w:rFonts w:ascii="Times New Roman" w:eastAsia="Times New Roman" w:hAnsi="Times New Roman" w:cs="Times New Roman"/>
          <w:lang w:eastAsia="hr-HR"/>
        </w:rPr>
        <w:t>m regionalnog razvoja i Ministarstvom graditeljstva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za Rekonstrukciju  ceste</w:t>
      </w:r>
      <w:r>
        <w:rPr>
          <w:rFonts w:ascii="Times New Roman" w:eastAsia="Times New Roman" w:hAnsi="Times New Roman" w:cs="Times New Roman"/>
          <w:lang w:eastAsia="hr-HR"/>
        </w:rPr>
        <w:t xml:space="preserve"> na području općine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 u svrhu poboljšanja kvalitete stanovanja.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5120D6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3005  Promicanje kulture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rada bibliobusa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6.2.3.5.</w:t>
      </w:r>
      <w:r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Promicanje kulture realiziran je u iznosu od 45.151,34 kn ili 98,16 %. Ovaj program se sastoji od više aktivnosti: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</w:t>
      </w:r>
      <w:r w:rsidRPr="00512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Kulturne manifestacije u općini – realizirana je u iznosu od 20.000,00 kn ili 100,00 % rashodi se odnose na transfere.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Kulturno umjetnički amaterizam realiziran je u iznosu od 15.151,34 kn ili 94,70% rashodi se odnose na transfere.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rada bibliobusa realizirana je u iznosu od 20.000,00 kn ili 100,00% rashodi se odnose na transfere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</w:t>
      </w:r>
      <w:r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608  Nogometni klubovi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lastRenderedPageBreak/>
        <w:t>6.2.3.6</w:t>
      </w:r>
      <w:r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realiziran je u iznosu od 43.000,00 kn ili 95,56 %. Program se sastoji od više aktivnosti i to: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Nogometni klubovi –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37.000,00 kn ili 100,00 %,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60,00 %,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Javne potrebe ostalih udruga – realiziran je u iznosu od 18.000,00 kn ili 100,00 % rashodi se odnose na transfere.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E920CB" w:rsidRPr="00731BC7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3008  Razvoj civilnog društva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801  Ured za međunarodnu suradnju TINTL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Udruga potrošača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816  Sufinanciranje LAG-a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51.150,00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98,31</w:t>
      </w:r>
      <w:r w:rsidRPr="00731BC7">
        <w:rPr>
          <w:rFonts w:ascii="Times New Roman" w:hAnsi="Times New Roman" w:cs="Times New Roman"/>
        </w:rPr>
        <w:t xml:space="preserve"> %,</w:t>
      </w:r>
      <w:r>
        <w:rPr>
          <w:rFonts w:ascii="Times New Roman" w:hAnsi="Times New Roman" w:cs="Times New Roman"/>
        </w:rPr>
        <w:t xml:space="preserve"> Ovaj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 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25.000,00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realizirana je u iznosu od 3.150,00 kn ili 75,90%  rashodi se odnose na transfere. 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Vjerske zajednice –</w:t>
      </w:r>
      <w:r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realizirana je u iznosu od 15.000,00 kn ili 100,00% rashodi se odnose na transfere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LAG-a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Praćenje natječaja, priprema i prijavljivanje projekata na isti.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Pr="004556C0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Pr="003174F2">
        <w:rPr>
          <w:rFonts w:ascii="Times New Roman" w:hAnsi="Times New Roman" w:cs="Times New Roman"/>
        </w:rPr>
        <w:t>Tompojevci</w:t>
      </w:r>
      <w:proofErr w:type="spellEnd"/>
      <w:r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Pr="00E4373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6.2.3.9.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>je u iznosu od 73.593,51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82,18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od 65.521,72 kn ili 80,30% </w:t>
      </w:r>
      <w:r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>
        <w:rPr>
          <w:rFonts w:ascii="Times New Roman" w:eastAsia="Times New Roman" w:hAnsi="Times New Roman" w:cs="Times New Roman"/>
          <w:lang w:eastAsia="hr-HR"/>
        </w:rPr>
        <w:t xml:space="preserve">8.071,79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lang w:eastAsia="hr-HR"/>
        </w:rPr>
        <w:t>101,53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rashodi se</w:t>
      </w:r>
      <w:r>
        <w:rPr>
          <w:rFonts w:ascii="Times New Roman" w:hAnsi="Times New Roman" w:cs="Times New Roman"/>
        </w:rPr>
        <w:t xml:space="preserve"> odnose na motorni benzin za košnju trave ispred škola</w:t>
      </w:r>
      <w:r w:rsidRPr="00731B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eastAsia="Times New Roman" w:hAnsi="Times New Roman" w:cs="Times New Roman"/>
          <w:lang w:eastAsia="hr-HR"/>
        </w:rPr>
        <w:t>Broj uključenih učenika u predškolskom odgoju pu</w:t>
      </w:r>
      <w:r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A301104  Srpska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Pr="00020095">
        <w:rPr>
          <w:rFonts w:ascii="Times New Roman" w:hAnsi="Times New Roman" w:cs="Times New Roman"/>
        </w:rPr>
        <w:t xml:space="preserve">realiziran </w:t>
      </w:r>
      <w:r>
        <w:rPr>
          <w:rFonts w:ascii="Times New Roman" w:hAnsi="Times New Roman" w:cs="Times New Roman"/>
        </w:rPr>
        <w:t>je u iznosu od 1.033,33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22,96%.</w:t>
      </w: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086C9B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hAnsi="Times New Roman" w:cs="Times New Roman"/>
        </w:rPr>
        <w:t>Redovan rad tijela nacionalnih manjina</w:t>
      </w:r>
    </w:p>
    <w:p w:rsidR="00E920CB" w:rsidRPr="00E43739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A301207  Elementarna nepogoda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6.2.3.11.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117.267,65 kn, </w:t>
      </w:r>
      <w:r w:rsidRPr="00020095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>od 1.224,65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0,16%</w:t>
      </w:r>
      <w:r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na odvoz uginule stoke, </w:t>
      </w:r>
      <w:proofErr w:type="spellStart"/>
      <w:r>
        <w:rPr>
          <w:rFonts w:ascii="Times New Roman" w:hAnsi="Times New Roman" w:cs="Times New Roman"/>
        </w:rPr>
        <w:t>labaratorijske</w:t>
      </w:r>
      <w:proofErr w:type="spellEnd"/>
      <w:r>
        <w:rPr>
          <w:rFonts w:ascii="Times New Roman" w:hAnsi="Times New Roman" w:cs="Times New Roman"/>
        </w:rPr>
        <w:t xml:space="preserve"> usluge.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Elementarna nepogoda</w:t>
      </w:r>
      <w:r w:rsidRPr="00C65A6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 xml:space="preserve">od 116.043,00 rashodi se odnose na isplatu naknade za elementarnu nepogodu- </w:t>
      </w:r>
      <w:proofErr w:type="spellStart"/>
      <w:r>
        <w:rPr>
          <w:rFonts w:ascii="Times New Roman" w:hAnsi="Times New Roman" w:cs="Times New Roman"/>
        </w:rPr>
        <w:t>ledotuča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Pr="00DA3170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A3170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A3170">
        <w:rPr>
          <w:rFonts w:ascii="Times New Roman" w:eastAsia="Times New Roman" w:hAnsi="Times New Roman" w:cs="Times New Roman"/>
          <w:lang w:eastAsia="hr-HR"/>
        </w:rPr>
        <w:t>: Jačanje i potpora poduzetničkih aktivnosti</w:t>
      </w:r>
      <w:r w:rsidRPr="00D1441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na području Općine </w:t>
      </w:r>
      <w:proofErr w:type="spellStart"/>
      <w:r w:rsidRPr="00DA3170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te ublažavanje posljedice od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ledotuče</w:t>
      </w:r>
      <w:proofErr w:type="spellEnd"/>
      <w:r w:rsidRPr="00DA317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920CB" w:rsidRPr="00D80FE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A301301  Civilna zaštita, 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Crveni križ</w:t>
      </w:r>
    </w:p>
    <w:p w:rsidR="00E920CB" w:rsidRPr="004D6A76" w:rsidRDefault="00E920CB" w:rsidP="00E920CB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Program 3013  Zaštita i spašavanje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>
        <w:rPr>
          <w:rFonts w:ascii="Times New Roman" w:eastAsia="Times New Roman" w:hAnsi="Times New Roman" w:cs="Times New Roman"/>
          <w:lang w:eastAsia="hr-HR"/>
        </w:rPr>
        <w:t>liziran je u iznosu od 55.414,55 kn ili 64,36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Civilna zaštita –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75,00 kn</w:t>
      </w:r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lizirano u iznosu od 47.272,56 kn ili 76,72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( 5% od vlastitih  sredstava ), temeljem članka 45</w:t>
      </w:r>
      <w:r w:rsidRPr="004D6A76">
        <w:rPr>
          <w:rFonts w:ascii="Times New Roman" w:hAnsi="Times New Roman" w:cs="Times New Roman"/>
        </w:rPr>
        <w:t>. Zakona o vatrogastvu</w:t>
      </w:r>
      <w:r>
        <w:rPr>
          <w:rFonts w:ascii="Times New Roman" w:hAnsi="Times New Roman" w:cs="Times New Roman"/>
        </w:rPr>
        <w:t xml:space="preserve">, te a uplate I faze za izradu </w:t>
      </w:r>
      <w:proofErr w:type="spellStart"/>
      <w:r>
        <w:rPr>
          <w:rFonts w:ascii="Times New Roman" w:hAnsi="Times New Roman" w:cs="Times New Roman"/>
        </w:rPr>
        <w:t>Procijen</w:t>
      </w:r>
      <w:proofErr w:type="spellEnd"/>
      <w:r>
        <w:rPr>
          <w:rFonts w:ascii="Times New Roman" w:hAnsi="Times New Roman" w:cs="Times New Roman"/>
        </w:rPr>
        <w:t xml:space="preserve"> ugroženosti i plana zaštite od </w:t>
      </w:r>
      <w:proofErr w:type="spellStart"/>
      <w:r>
        <w:rPr>
          <w:rFonts w:ascii="Times New Roman" w:hAnsi="Times New Roman" w:cs="Times New Roman"/>
        </w:rPr>
        <w:t>požra</w:t>
      </w:r>
      <w:proofErr w:type="spellEnd"/>
      <w:r>
        <w:rPr>
          <w:rFonts w:ascii="Times New Roman" w:hAnsi="Times New Roman" w:cs="Times New Roman"/>
        </w:rPr>
        <w:t>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 -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2.000,00 kn ili 100,00% odnosi se na transfer temeljem  potpisanog sporazuma</w:t>
      </w:r>
    </w:p>
    <w:p w:rsidR="00E920CB" w:rsidRPr="00A143D4" w:rsidRDefault="00E920CB" w:rsidP="00E92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d). Crveni križ-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 u iznosu od 6.066,99 ili 82,71%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( 0,7% od vlastitih  sredstava) temelje </w:t>
      </w:r>
      <w:r w:rsidRPr="00A143D4">
        <w:rPr>
          <w:rFonts w:ascii="Times New Roman" w:hAnsi="Times New Roman" w:cs="Times New Roman"/>
        </w:rPr>
        <w:t>Zakona o  Hrvatskom crvenom križu</w:t>
      </w:r>
      <w:r>
        <w:rPr>
          <w:rFonts w:ascii="Times New Roman" w:hAnsi="Times New Roman" w:cs="Times New Roman"/>
        </w:rPr>
        <w:t xml:space="preserve"> i donesen odluke Općinskog vijeća od 09.11.2011. godine.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Pr="00F8077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1543D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4D6A76">
        <w:rPr>
          <w:rFonts w:ascii="Times New Roman" w:eastAsia="Times New Roman" w:hAnsi="Times New Roman" w:cs="Times New Roman"/>
          <w:lang w:eastAsia="hr-HR"/>
        </w:rPr>
        <w:t>Smanjenje broj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incidenata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  Zaštita okoliša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A301503  Uklanjanje starih objekata</w:t>
      </w:r>
    </w:p>
    <w:p w:rsidR="00E920CB" w:rsidRPr="005474F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6.2.3.14.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 je u iznosu od 33.561,28kn ili 98,86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>liziran je u iznosu od 5.576,28 kn ili 97,83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komunalnog otpada po naseljima.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a je u iznosu od 26.735,00 kn ili 99,02% , </w:t>
      </w:r>
      <w:proofErr w:type="spellStart"/>
      <w:r>
        <w:rPr>
          <w:rFonts w:ascii="Times New Roman" w:hAnsi="Times New Roman" w:cs="Times New Roman"/>
        </w:rPr>
        <w:t>raskodi</w:t>
      </w:r>
      <w:proofErr w:type="spellEnd"/>
      <w:r>
        <w:rPr>
          <w:rFonts w:ascii="Times New Roman" w:hAnsi="Times New Roman" w:cs="Times New Roman"/>
        </w:rPr>
        <w:t xml:space="preserve"> se odnose na troškove deratizacije u svim naseljima općine </w:t>
      </w:r>
      <w:proofErr w:type="spellStart"/>
      <w:r>
        <w:rPr>
          <w:rFonts w:ascii="Times New Roman" w:hAnsi="Times New Roman" w:cs="Times New Roman"/>
        </w:rPr>
        <w:t>Tompojevci</w:t>
      </w:r>
      <w:proofErr w:type="spellEnd"/>
      <w:r>
        <w:rPr>
          <w:rFonts w:ascii="Times New Roman" w:hAnsi="Times New Roman" w:cs="Times New Roman"/>
        </w:rPr>
        <w:t>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>
        <w:rPr>
          <w:rFonts w:ascii="Times New Roman" w:eastAsia="Times New Roman" w:hAnsi="Times New Roman" w:cs="Times New Roman"/>
          <w:lang w:eastAsia="hr-HR"/>
        </w:rPr>
        <w:t>S</w:t>
      </w:r>
      <w:r w:rsidRPr="004D6A76">
        <w:rPr>
          <w:rFonts w:ascii="Times New Roman" w:eastAsia="Times New Roman" w:hAnsi="Times New Roman" w:cs="Times New Roman"/>
          <w:lang w:eastAsia="hr-HR"/>
        </w:rPr>
        <w:t>manjenje površina zagađenih otpadom</w:t>
      </w:r>
      <w:r>
        <w:rPr>
          <w:rFonts w:ascii="Times New Roman" w:eastAsia="Times New Roman" w:hAnsi="Times New Roman" w:cs="Times New Roman"/>
          <w:lang w:eastAsia="hr-HR"/>
        </w:rPr>
        <w:t xml:space="preserve"> i očuvanje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kvalitet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D6A76">
        <w:rPr>
          <w:rFonts w:ascii="Times New Roman" w:eastAsia="Times New Roman" w:hAnsi="Times New Roman" w:cs="Times New Roman"/>
          <w:lang w:eastAsia="hr-HR"/>
        </w:rPr>
        <w:t>Redovan odvoz komunalnog otpada</w:t>
      </w:r>
      <w:r>
        <w:rPr>
          <w:rFonts w:ascii="Times New Roman" w:eastAsia="Times New Roman" w:hAnsi="Times New Roman" w:cs="Times New Roman"/>
          <w:lang w:eastAsia="hr-HR"/>
        </w:rPr>
        <w:t xml:space="preserve"> i redovito provođenje godišnje deratizacije</w:t>
      </w:r>
      <w:r w:rsidRPr="004D6A76"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 2017</w:t>
      </w:r>
      <w:r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55.228.619,11kn, odnosno 86,16</w:t>
      </w:r>
      <w:r w:rsidRPr="00FD45F8">
        <w:rPr>
          <w:color w:val="auto"/>
          <w:sz w:val="22"/>
          <w:szCs w:val="22"/>
        </w:rPr>
        <w:t xml:space="preserve"> % </w:t>
      </w:r>
      <w:r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>
        <w:rPr>
          <w:color w:val="auto"/>
          <w:sz w:val="22"/>
          <w:szCs w:val="22"/>
        </w:rPr>
        <w:t>/izdaci u  2017</w:t>
      </w:r>
      <w:r w:rsidRPr="00FD45F8">
        <w:rPr>
          <w:color w:val="auto"/>
          <w:sz w:val="22"/>
          <w:szCs w:val="22"/>
        </w:rPr>
        <w:t xml:space="preserve">. g. iznose </w:t>
      </w:r>
      <w:r>
        <w:rPr>
          <w:color w:val="auto"/>
          <w:sz w:val="22"/>
          <w:szCs w:val="22"/>
        </w:rPr>
        <w:t xml:space="preserve">3.198.496,43 kn, odnosno 52,71 </w:t>
      </w:r>
      <w:r w:rsidRPr="00FD45F8">
        <w:rPr>
          <w:color w:val="auto"/>
          <w:sz w:val="22"/>
          <w:szCs w:val="22"/>
        </w:rPr>
        <w:t xml:space="preserve">% plana. </w:t>
      </w:r>
    </w:p>
    <w:p w:rsidR="00E920CB" w:rsidRPr="00FD45F8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>
        <w:rPr>
          <w:rFonts w:ascii="Times New Roman" w:hAnsi="Times New Roman"/>
        </w:rPr>
        <w:t>zdataka u  2017.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rihoda/primitaka u iznosu2.030.122,68</w:t>
      </w:r>
      <w:r w:rsidRPr="00FD45F8">
        <w:rPr>
          <w:rFonts w:ascii="Times New Roman" w:hAnsi="Times New Roman"/>
        </w:rPr>
        <w:t xml:space="preserve"> kn</w:t>
      </w:r>
    </w:p>
    <w:p w:rsidR="00E920CB" w:rsidRPr="00FD45F8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>
        <w:rPr>
          <w:color w:val="auto"/>
          <w:sz w:val="22"/>
          <w:szCs w:val="22"/>
        </w:rPr>
        <w:t>h godina  u iznosu 1.693.720,82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rihoda/primitaka u iznosu 2.030.122,68 kn  u  2017</w:t>
      </w:r>
      <w:r w:rsidRPr="00FD45F8">
        <w:rPr>
          <w:color w:val="auto"/>
          <w:sz w:val="22"/>
          <w:szCs w:val="22"/>
        </w:rPr>
        <w:t xml:space="preserve">. g.,  </w:t>
      </w:r>
      <w:r>
        <w:rPr>
          <w:color w:val="auto"/>
          <w:sz w:val="22"/>
          <w:szCs w:val="22"/>
        </w:rPr>
        <w:t>daje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>
        <w:rPr>
          <w:color w:val="auto"/>
          <w:sz w:val="22"/>
          <w:szCs w:val="22"/>
        </w:rPr>
        <w:t>em razdoblju koji  iznosi 3.723.843,50</w:t>
      </w:r>
      <w:r w:rsidRPr="00FD45F8">
        <w:rPr>
          <w:color w:val="auto"/>
          <w:sz w:val="22"/>
          <w:szCs w:val="22"/>
        </w:rPr>
        <w:t xml:space="preserve"> kn. </w:t>
      </w:r>
    </w:p>
    <w:p w:rsidR="00E920CB" w:rsidRPr="00FD45F8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D95ACD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73412" w:rsidRDefault="00F73412"/>
    <w:sectPr w:rsidR="00F7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71" w:rsidRDefault="006C4971">
      <w:pPr>
        <w:spacing w:after="0" w:line="240" w:lineRule="auto"/>
      </w:pPr>
      <w:r>
        <w:separator/>
      </w:r>
    </w:p>
  </w:endnote>
  <w:endnote w:type="continuationSeparator" w:id="0">
    <w:p w:rsidR="006C4971" w:rsidRDefault="006C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71" w:rsidRDefault="006C4971">
      <w:pPr>
        <w:spacing w:after="0" w:line="240" w:lineRule="auto"/>
      </w:pPr>
      <w:r>
        <w:separator/>
      </w:r>
    </w:p>
  </w:footnote>
  <w:footnote w:type="continuationSeparator" w:id="0">
    <w:p w:rsidR="006C4971" w:rsidRDefault="006C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Zaglavlje"/>
    </w:pPr>
  </w:p>
  <w:p w:rsidR="00A35737" w:rsidRDefault="006C4971">
    <w:pPr>
      <w:pStyle w:val="Zaglavlje"/>
    </w:pPr>
  </w:p>
  <w:p w:rsidR="00A35737" w:rsidRDefault="006C497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37" w:rsidRDefault="006C49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19"/>
    <w:rsid w:val="004D07A4"/>
    <w:rsid w:val="006C4971"/>
    <w:rsid w:val="009F4AE8"/>
    <w:rsid w:val="00A42274"/>
    <w:rsid w:val="00AC2FA3"/>
    <w:rsid w:val="00AC68E9"/>
    <w:rsid w:val="00CC272E"/>
    <w:rsid w:val="00E2054A"/>
    <w:rsid w:val="00E920CB"/>
    <w:rsid w:val="00F73412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12374</Words>
  <Characters>70536</Characters>
  <Application>Microsoft Office Word</Application>
  <DocSecurity>0</DocSecurity>
  <Lines>587</Lines>
  <Paragraphs>165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Katica Cvitković</cp:lastModifiedBy>
  <cp:revision>7</cp:revision>
  <dcterms:created xsi:type="dcterms:W3CDTF">2018-03-14T13:18:00Z</dcterms:created>
  <dcterms:modified xsi:type="dcterms:W3CDTF">2018-03-20T11:13:00Z</dcterms:modified>
</cp:coreProperties>
</file>