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2" w:rsidRPr="002D385B" w:rsidRDefault="00AD10D2" w:rsidP="00AD10D2">
      <w:pPr>
        <w:pStyle w:val="Naslov8"/>
        <w:ind w:firstLine="708"/>
        <w:rPr>
          <w:sz w:val="20"/>
          <w:szCs w:val="20"/>
        </w:rPr>
      </w:pPr>
      <w:r w:rsidRPr="002D385B">
        <w:rPr>
          <w:sz w:val="20"/>
          <w:szCs w:val="20"/>
        </w:rPr>
        <w:t>BILJEŠKA O PRIHODIMA I RASHODIMA, PRIMICIMA  I IZDACIM</w:t>
      </w:r>
    </w:p>
    <w:p w:rsidR="00AD10D2" w:rsidRPr="002D385B" w:rsidRDefault="00AD10D2" w:rsidP="00AD10D2">
      <w:pPr>
        <w:jc w:val="center"/>
        <w:rPr>
          <w:b/>
          <w:bCs/>
          <w:sz w:val="20"/>
          <w:szCs w:val="20"/>
        </w:rPr>
      </w:pPr>
      <w:r w:rsidRPr="002D385B">
        <w:rPr>
          <w:b/>
          <w:bCs/>
          <w:sz w:val="20"/>
          <w:szCs w:val="20"/>
        </w:rPr>
        <w:t>( OBRAZAC:  PR- RAS )</w:t>
      </w:r>
    </w:p>
    <w:p w:rsidR="00AD10D2" w:rsidRDefault="00AD10D2" w:rsidP="00AD10D2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   Za  razdoblje siječanj –  prosinac 2017</w:t>
      </w:r>
      <w:r w:rsidRPr="002D385B">
        <w:rPr>
          <w:sz w:val="20"/>
          <w:szCs w:val="20"/>
        </w:rPr>
        <w:t xml:space="preserve">. </w:t>
      </w:r>
      <w:r>
        <w:rPr>
          <w:sz w:val="20"/>
          <w:szCs w:val="20"/>
        </w:rPr>
        <w:t>g</w:t>
      </w:r>
      <w:r w:rsidRPr="002D385B">
        <w:rPr>
          <w:sz w:val="20"/>
          <w:szCs w:val="20"/>
        </w:rPr>
        <w:t>odine</w:t>
      </w:r>
    </w:p>
    <w:p w:rsidR="00AD10D2" w:rsidRPr="002D385B" w:rsidRDefault="00AD10D2" w:rsidP="00AD10D2">
      <w:pPr>
        <w:ind w:left="1416"/>
        <w:rPr>
          <w:sz w:val="20"/>
          <w:szCs w:val="20"/>
        </w:rPr>
      </w:pPr>
    </w:p>
    <w:p w:rsidR="00AD10D2" w:rsidRPr="002D385B" w:rsidRDefault="00AD10D2" w:rsidP="00AD10D2">
      <w:pPr>
        <w:ind w:left="1416"/>
        <w:jc w:val="both"/>
        <w:rPr>
          <w:sz w:val="20"/>
          <w:szCs w:val="20"/>
        </w:rPr>
      </w:pP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 w:rsidRPr="002D385B">
        <w:rPr>
          <w:sz w:val="20"/>
          <w:szCs w:val="20"/>
        </w:rPr>
        <w:t>Prema podacim</w:t>
      </w:r>
      <w:r>
        <w:rPr>
          <w:sz w:val="20"/>
          <w:szCs w:val="20"/>
        </w:rPr>
        <w:t>a</w:t>
      </w:r>
      <w:r w:rsidRPr="002D385B">
        <w:rPr>
          <w:sz w:val="20"/>
          <w:szCs w:val="20"/>
        </w:rPr>
        <w:t xml:space="preserve"> iz Izvještaja o prihodima i rashodima, primicima </w:t>
      </w:r>
      <w:r>
        <w:rPr>
          <w:sz w:val="20"/>
          <w:szCs w:val="20"/>
        </w:rPr>
        <w:t>i izdacima za period od 01.01.-31.12</w:t>
      </w:r>
      <w:r w:rsidRPr="002D385B">
        <w:rPr>
          <w:sz w:val="20"/>
          <w:szCs w:val="20"/>
        </w:rPr>
        <w:t>.201</w:t>
      </w:r>
      <w:r>
        <w:rPr>
          <w:sz w:val="20"/>
          <w:szCs w:val="20"/>
        </w:rPr>
        <w:t>7. godi</w:t>
      </w:r>
      <w:r w:rsidRPr="002D385B">
        <w:rPr>
          <w:sz w:val="20"/>
          <w:szCs w:val="20"/>
        </w:rPr>
        <w:t>ne,</w:t>
      </w:r>
      <w:r>
        <w:rPr>
          <w:sz w:val="20"/>
          <w:szCs w:val="20"/>
        </w:rPr>
        <w:t xml:space="preserve"> ukupni prihodi</w:t>
      </w:r>
      <w:r w:rsidRPr="002D385B">
        <w:rPr>
          <w:sz w:val="20"/>
          <w:szCs w:val="20"/>
        </w:rPr>
        <w:t xml:space="preserve"> os</w:t>
      </w:r>
      <w:r>
        <w:rPr>
          <w:sz w:val="20"/>
          <w:szCs w:val="20"/>
        </w:rPr>
        <w:t xml:space="preserve">tvareni su u iznosu od 5.228.619,11 kn, </w:t>
      </w:r>
      <w:r w:rsidRPr="002D385B">
        <w:rPr>
          <w:sz w:val="20"/>
          <w:szCs w:val="20"/>
        </w:rPr>
        <w:t>te se odnose na:</w:t>
      </w:r>
    </w:p>
    <w:p w:rsidR="00AD10D2" w:rsidRPr="002D385B" w:rsidRDefault="00AD10D2" w:rsidP="00AD10D2">
      <w:pPr>
        <w:ind w:left="705"/>
        <w:jc w:val="both"/>
        <w:rPr>
          <w:sz w:val="20"/>
          <w:szCs w:val="20"/>
        </w:rPr>
      </w:pP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 w:rsidRPr="002D385B">
        <w:rPr>
          <w:sz w:val="20"/>
          <w:szCs w:val="20"/>
        </w:rPr>
        <w:t>Prihode od pore</w:t>
      </w:r>
      <w:r>
        <w:rPr>
          <w:sz w:val="20"/>
          <w:szCs w:val="20"/>
        </w:rPr>
        <w:t>za  (AOP 002) u iznosu od 860.122,88</w:t>
      </w:r>
      <w:r w:rsidRPr="005F2A09">
        <w:rPr>
          <w:sz w:val="20"/>
          <w:szCs w:val="20"/>
        </w:rPr>
        <w:t xml:space="preserve"> kn.</w:t>
      </w:r>
      <w:r>
        <w:rPr>
          <w:sz w:val="20"/>
          <w:szCs w:val="20"/>
        </w:rPr>
        <w:t xml:space="preserve"> Manji   su za 24,7</w:t>
      </w:r>
      <w:r w:rsidRPr="005F2A09">
        <w:rPr>
          <w:sz w:val="20"/>
          <w:szCs w:val="20"/>
        </w:rPr>
        <w:t xml:space="preserve"> %</w:t>
      </w:r>
      <w:r>
        <w:rPr>
          <w:sz w:val="20"/>
          <w:szCs w:val="20"/>
        </w:rPr>
        <w:t xml:space="preserve">  u odnosu na isto razdoblje prethodne godine. </w:t>
      </w:r>
    </w:p>
    <w:p w:rsidR="00AD10D2" w:rsidRPr="005F2A09" w:rsidRDefault="00AD10D2" w:rsidP="00AD10D2">
      <w:pPr>
        <w:ind w:left="705"/>
        <w:jc w:val="both"/>
        <w:rPr>
          <w:sz w:val="20"/>
          <w:szCs w:val="20"/>
        </w:rPr>
      </w:pPr>
    </w:p>
    <w:p w:rsidR="00AD10D2" w:rsidRPr="002D385B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Pomoći proračunu  (AOP 045</w:t>
      </w:r>
      <w:r w:rsidRPr="002D385B">
        <w:rPr>
          <w:sz w:val="20"/>
          <w:szCs w:val="20"/>
        </w:rPr>
        <w:t xml:space="preserve"> ) </w:t>
      </w:r>
      <w:r>
        <w:rPr>
          <w:sz w:val="20"/>
          <w:szCs w:val="20"/>
        </w:rPr>
        <w:t>u iznosu od 3.115.214,59</w:t>
      </w:r>
      <w:r w:rsidRPr="002D385B">
        <w:rPr>
          <w:sz w:val="20"/>
          <w:szCs w:val="20"/>
        </w:rPr>
        <w:t xml:space="preserve"> kn</w:t>
      </w:r>
      <w:r>
        <w:rPr>
          <w:sz w:val="20"/>
          <w:szCs w:val="20"/>
        </w:rPr>
        <w:t>, već su za 3,2%,  a odnose se na</w:t>
      </w:r>
      <w:r w:rsidRPr="002D385B">
        <w:rPr>
          <w:sz w:val="20"/>
          <w:szCs w:val="20"/>
        </w:rPr>
        <w:t xml:space="preserve">:             </w:t>
      </w:r>
    </w:p>
    <w:p w:rsidR="00AD10D2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 w:rsidRPr="002D385B">
        <w:rPr>
          <w:sz w:val="20"/>
          <w:szCs w:val="20"/>
        </w:rPr>
        <w:t>tek</w:t>
      </w:r>
      <w:r>
        <w:rPr>
          <w:sz w:val="20"/>
          <w:szCs w:val="20"/>
        </w:rPr>
        <w:t>uće pomoći iz državnog proračuna</w:t>
      </w:r>
      <w:r w:rsidRPr="002D385B">
        <w:rPr>
          <w:sz w:val="20"/>
          <w:szCs w:val="20"/>
        </w:rPr>
        <w:t xml:space="preserve"> </w:t>
      </w:r>
      <w:r>
        <w:rPr>
          <w:sz w:val="20"/>
          <w:szCs w:val="20"/>
        </w:rPr>
        <w:t>u iznosu od 1.363.509,98 kn</w:t>
      </w:r>
    </w:p>
    <w:p w:rsidR="00AD10D2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iz  županijskog proračuna u iznosu od 20.090,00 kn</w:t>
      </w:r>
    </w:p>
    <w:p w:rsidR="00AD10D2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kapitalne pomoći iz državnog proračuna u iznosu od 350.000,00 kn (Min. Reg. Razvoja i Min. Graditeljstva)</w:t>
      </w:r>
    </w:p>
    <w:p w:rsidR="00AD10D2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od HZZ u iznosu od 375.104,61 kn</w:t>
      </w:r>
    </w:p>
    <w:p w:rsidR="00AD10D2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 w:rsidRPr="004B4CF0">
        <w:rPr>
          <w:sz w:val="20"/>
          <w:szCs w:val="20"/>
        </w:rPr>
        <w:t xml:space="preserve">tekuće pomoći od Agencije za plaćanje u  poljoprivredi u iznosu od 93.750,00 kn (povrat za izradu Strategije razvoja od 2016-2020 Općine </w:t>
      </w:r>
      <w:proofErr w:type="spellStart"/>
      <w:r w:rsidRPr="004B4CF0">
        <w:rPr>
          <w:sz w:val="20"/>
          <w:szCs w:val="20"/>
        </w:rPr>
        <w:t>Tompojevci</w:t>
      </w:r>
      <w:proofErr w:type="spellEnd"/>
      <w:r>
        <w:rPr>
          <w:sz w:val="20"/>
          <w:szCs w:val="20"/>
        </w:rPr>
        <w:t>)</w:t>
      </w:r>
    </w:p>
    <w:p w:rsidR="00AD10D2" w:rsidRPr="004B4CF0" w:rsidRDefault="00AD10D2" w:rsidP="00AD10D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temeljem prijenosa EU sredstava (AOP 066) u iznosu od 912.760,00 kn ( program Zaželi)</w:t>
      </w:r>
    </w:p>
    <w:p w:rsidR="00AD10D2" w:rsidRPr="004B4CF0" w:rsidRDefault="00AD10D2" w:rsidP="00AD10D2">
      <w:pPr>
        <w:ind w:left="708"/>
        <w:jc w:val="both"/>
        <w:rPr>
          <w:sz w:val="20"/>
          <w:szCs w:val="20"/>
        </w:rPr>
      </w:pPr>
    </w:p>
    <w:p w:rsidR="00AD10D2" w:rsidRPr="00C70EB3" w:rsidRDefault="00AD10D2" w:rsidP="00AD10D2">
      <w:pPr>
        <w:ind w:firstLine="70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Prihodi od  im</w:t>
      </w:r>
      <w:r>
        <w:rPr>
          <w:sz w:val="20"/>
          <w:szCs w:val="20"/>
        </w:rPr>
        <w:t>ovine ( AOP 074) iznose 829.350,38 kn</w:t>
      </w:r>
      <w:r w:rsidRPr="00C70EB3">
        <w:rPr>
          <w:sz w:val="20"/>
          <w:szCs w:val="20"/>
        </w:rPr>
        <w:t>, a  odnose se na prihode od kamata,   naknad</w:t>
      </w:r>
      <w:r>
        <w:rPr>
          <w:sz w:val="20"/>
          <w:szCs w:val="20"/>
        </w:rPr>
        <w:t>e za koncesije i prava služnosti</w:t>
      </w:r>
      <w:r w:rsidRPr="00C70EB3">
        <w:rPr>
          <w:sz w:val="20"/>
          <w:szCs w:val="20"/>
        </w:rPr>
        <w:t>, zakupa poljoprivrednog zemljiš</w:t>
      </w:r>
      <w:r>
        <w:rPr>
          <w:sz w:val="20"/>
          <w:szCs w:val="20"/>
        </w:rPr>
        <w:t>ta u vlasništvu RH, prihodi od legalizacije.  Veći su u  odnosu na isto razdoblje prethodne godine za 1,4%.</w:t>
      </w:r>
    </w:p>
    <w:p w:rsidR="00AD10D2" w:rsidRPr="00C70EB3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Prihodi od upravnih i administrativnih pristojbi i po posebnim propis</w:t>
      </w:r>
      <w:r>
        <w:rPr>
          <w:sz w:val="20"/>
          <w:szCs w:val="20"/>
        </w:rPr>
        <w:t xml:space="preserve">ima (AOP  105) iznose 276.272,55 </w:t>
      </w:r>
      <w:r w:rsidRPr="00C70EB3">
        <w:rPr>
          <w:sz w:val="20"/>
          <w:szCs w:val="20"/>
        </w:rPr>
        <w:t xml:space="preserve">kn ( općinske naknade po odluci vijeća, </w:t>
      </w:r>
      <w:r>
        <w:rPr>
          <w:sz w:val="20"/>
          <w:szCs w:val="20"/>
        </w:rPr>
        <w:t xml:space="preserve">grobnu naknadu, </w:t>
      </w:r>
      <w:r w:rsidRPr="00C70EB3">
        <w:rPr>
          <w:sz w:val="20"/>
          <w:szCs w:val="20"/>
        </w:rPr>
        <w:t>vodni doprinos, doprinos za šume, komunalni</w:t>
      </w:r>
      <w:r>
        <w:rPr>
          <w:sz w:val="20"/>
          <w:szCs w:val="20"/>
        </w:rPr>
        <w:t xml:space="preserve"> doprinos i komunalna naknada) manji </w:t>
      </w:r>
      <w:r w:rsidRPr="00C70EB3">
        <w:rPr>
          <w:sz w:val="20"/>
          <w:szCs w:val="20"/>
        </w:rPr>
        <w:t xml:space="preserve"> su u </w:t>
      </w:r>
      <w:r>
        <w:rPr>
          <w:sz w:val="20"/>
          <w:szCs w:val="20"/>
        </w:rPr>
        <w:t>odnosu na isto razdoblje prethodne godine za 16,5% .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>Prihodi od prodaje proizvoda i robe, te pružanja usluga i prihodi od donacija(AOP 123) iznose 7.083,20 kn odnose se na povrat sredstava članova vijeća  nezavisne liste kandidata koje nisu utrošili za vrijeme mandat.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>Prihodi od kazne, upravne mjere i ostali prihodi (AOP 136)  iznose 4.991,30 kn  odnose  se na prihode od nastalih troškova javnog bilježnika za ovrhe komunalne naknade.</w:t>
      </w:r>
    </w:p>
    <w:p w:rsidR="00AD10D2" w:rsidRPr="00C70EB3" w:rsidRDefault="00AD10D2" w:rsidP="00AD10D2">
      <w:pPr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Prihodi od prodaje nefinancijske imovine </w:t>
      </w:r>
      <w:r>
        <w:rPr>
          <w:sz w:val="20"/>
          <w:szCs w:val="20"/>
        </w:rPr>
        <w:t>(AOP 289) u iznosu od 135.584,21</w:t>
      </w:r>
      <w:r w:rsidRPr="00C70EB3">
        <w:rPr>
          <w:sz w:val="20"/>
          <w:szCs w:val="20"/>
        </w:rPr>
        <w:t xml:space="preserve"> kn   odnose se   na uplate rata kredita  za kupovinu poljoprivrednog zemljišta  u </w:t>
      </w:r>
      <w:proofErr w:type="spellStart"/>
      <w:r w:rsidRPr="00C70EB3">
        <w:rPr>
          <w:sz w:val="20"/>
          <w:szCs w:val="20"/>
        </w:rPr>
        <w:t>vl</w:t>
      </w:r>
      <w:proofErr w:type="spellEnd"/>
      <w:r w:rsidRPr="00C70EB3">
        <w:rPr>
          <w:sz w:val="20"/>
          <w:szCs w:val="20"/>
        </w:rPr>
        <w:t>. RH.</w:t>
      </w:r>
      <w:r>
        <w:rPr>
          <w:sz w:val="20"/>
          <w:szCs w:val="20"/>
        </w:rPr>
        <w:t xml:space="preserve"> u iznosu od 135.299,21 kn i prodaje otpisane dugotrajne imovine ( stari mehanički strojevi) u iznosu od 285,00 kn</w:t>
      </w:r>
    </w:p>
    <w:p w:rsidR="00AD10D2" w:rsidRPr="00C70EB3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Pr="00C70EB3" w:rsidRDefault="00AD10D2" w:rsidP="00AD10D2">
      <w:pPr>
        <w:ind w:left="-180"/>
        <w:jc w:val="both"/>
        <w:rPr>
          <w:sz w:val="20"/>
          <w:szCs w:val="20"/>
        </w:rPr>
      </w:pPr>
    </w:p>
    <w:p w:rsidR="00AD10D2" w:rsidRPr="00C70EB3" w:rsidRDefault="00AD10D2" w:rsidP="00AD10D2">
      <w:pPr>
        <w:ind w:left="-180"/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 Uk</w:t>
      </w:r>
      <w:r>
        <w:rPr>
          <w:sz w:val="20"/>
          <w:szCs w:val="20"/>
        </w:rPr>
        <w:t xml:space="preserve">upni rashodi iznose 3.198.496,43 </w:t>
      </w:r>
      <w:r w:rsidRPr="00C70EB3">
        <w:rPr>
          <w:sz w:val="20"/>
          <w:szCs w:val="20"/>
        </w:rPr>
        <w:t xml:space="preserve"> kn, te se odnose na:</w:t>
      </w:r>
    </w:p>
    <w:p w:rsidR="00AD10D2" w:rsidRPr="00C70EB3" w:rsidRDefault="00AD10D2" w:rsidP="00AD10D2">
      <w:pPr>
        <w:ind w:left="-180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Rashodi poslovanja (AOP 148</w:t>
      </w:r>
      <w:r w:rsidRPr="00C70EB3">
        <w:rPr>
          <w:sz w:val="20"/>
          <w:szCs w:val="20"/>
        </w:rPr>
        <w:t>)</w:t>
      </w:r>
      <w:r>
        <w:rPr>
          <w:sz w:val="20"/>
          <w:szCs w:val="20"/>
        </w:rPr>
        <w:t xml:space="preserve">  u iznosu od 2.442.726,36</w:t>
      </w:r>
      <w:r w:rsidRPr="00C70EB3">
        <w:rPr>
          <w:sz w:val="20"/>
          <w:szCs w:val="20"/>
        </w:rPr>
        <w:t xml:space="preserve"> kn</w:t>
      </w:r>
      <w:r>
        <w:rPr>
          <w:sz w:val="20"/>
          <w:szCs w:val="20"/>
        </w:rPr>
        <w:t>, veći su  za 16,9% u odnosu na isto razdoblje prošle godine</w:t>
      </w:r>
      <w:r w:rsidRPr="00C70EB3">
        <w:rPr>
          <w:sz w:val="20"/>
          <w:szCs w:val="20"/>
        </w:rPr>
        <w:t xml:space="preserve"> ( rashodi za zaposlene, materijalni rashodi, financijski rashodi, dane pomoći, naknade kućanstvima i ostale rashode).</w:t>
      </w:r>
    </w:p>
    <w:p w:rsidR="00AD10D2" w:rsidRPr="00C70EB3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-rashod</w:t>
      </w:r>
      <w:r>
        <w:rPr>
          <w:sz w:val="20"/>
          <w:szCs w:val="20"/>
        </w:rPr>
        <w:t>i za zaposlene iznose 815.837,58</w:t>
      </w:r>
      <w:r w:rsidRPr="00C70EB3">
        <w:rPr>
          <w:sz w:val="20"/>
          <w:szCs w:val="20"/>
        </w:rPr>
        <w:t xml:space="preserve"> kn (odnosi se na bruto plaće dužnosnika, dj</w:t>
      </w:r>
      <w:r>
        <w:rPr>
          <w:sz w:val="20"/>
          <w:szCs w:val="20"/>
        </w:rPr>
        <w:t>elatnika JUO, i djelatnika javnih radova). Manji   su u odnosu na isto razdoblje prethodne godine  za 8,6</w:t>
      </w:r>
      <w:r w:rsidRPr="00C70EB3">
        <w:rPr>
          <w:sz w:val="20"/>
          <w:szCs w:val="20"/>
        </w:rPr>
        <w:t xml:space="preserve">% </w:t>
      </w:r>
      <w:r>
        <w:rPr>
          <w:sz w:val="20"/>
          <w:szCs w:val="20"/>
        </w:rPr>
        <w:t>.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Pr="00C70EB3" w:rsidRDefault="00AD10D2" w:rsidP="00AD10D2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-materij</w:t>
      </w:r>
      <w:r>
        <w:rPr>
          <w:sz w:val="20"/>
          <w:szCs w:val="20"/>
        </w:rPr>
        <w:t>alni rashodi iznose 1.104.712,82</w:t>
      </w:r>
      <w:r w:rsidRPr="00C70EB3">
        <w:rPr>
          <w:sz w:val="20"/>
          <w:szCs w:val="20"/>
        </w:rPr>
        <w:t xml:space="preserve"> kn ( odnosi se na rashode za službena putovanja, naknade za prijevoz na posao, uredski materijal, energiju, usluge telefona, materijal za inv. održa</w:t>
      </w:r>
      <w:r>
        <w:rPr>
          <w:sz w:val="20"/>
          <w:szCs w:val="20"/>
        </w:rPr>
        <w:t>vanja, komunalne usluge, naknad</w:t>
      </w:r>
      <w:r w:rsidRPr="00C70EB3">
        <w:rPr>
          <w:sz w:val="20"/>
          <w:szCs w:val="20"/>
        </w:rPr>
        <w:t>e za rad predstavničkih i izvršnih t</w:t>
      </w:r>
      <w:r>
        <w:rPr>
          <w:sz w:val="20"/>
          <w:szCs w:val="20"/>
        </w:rPr>
        <w:t>i</w:t>
      </w:r>
      <w:r w:rsidRPr="00C70EB3">
        <w:rPr>
          <w:sz w:val="20"/>
          <w:szCs w:val="20"/>
        </w:rPr>
        <w:t>jela, troškove reprezentacije i sl</w:t>
      </w:r>
      <w:r>
        <w:rPr>
          <w:sz w:val="20"/>
          <w:szCs w:val="20"/>
        </w:rPr>
        <w:t>. veći su u odnosu na prošlo razdoblje  za 43,6% .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-fina</w:t>
      </w:r>
      <w:r>
        <w:rPr>
          <w:sz w:val="20"/>
          <w:szCs w:val="20"/>
        </w:rPr>
        <w:t>ncijski rashodi iznose 14.889,63</w:t>
      </w:r>
      <w:r w:rsidRPr="00C70EB3">
        <w:rPr>
          <w:sz w:val="20"/>
          <w:szCs w:val="20"/>
        </w:rPr>
        <w:t xml:space="preserve"> kn ( odnose se na usluge banke i FIN-e)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>-pomoći dane u inozemstvo i unutar općeg proračuna u iznosu od 6.000,00 kn odnose se na</w:t>
      </w:r>
      <w:r w:rsidRPr="002249E6">
        <w:rPr>
          <w:sz w:val="20"/>
          <w:szCs w:val="20"/>
        </w:rPr>
        <w:t xml:space="preserve"> </w:t>
      </w:r>
      <w:r w:rsidRPr="00B612D8">
        <w:rPr>
          <w:sz w:val="20"/>
          <w:szCs w:val="20"/>
        </w:rPr>
        <w:t>sufinanciranje borbe protiv ovisnosti od alkohola i droge, pr</w:t>
      </w:r>
      <w:r>
        <w:rPr>
          <w:sz w:val="20"/>
          <w:szCs w:val="20"/>
        </w:rPr>
        <w:t>ijevoz umirovljenika.</w:t>
      </w:r>
    </w:p>
    <w:p w:rsidR="00AD10D2" w:rsidRDefault="00AD10D2" w:rsidP="00AD10D2">
      <w:pPr>
        <w:ind w:left="-180" w:firstLine="888"/>
        <w:jc w:val="both"/>
        <w:rPr>
          <w:sz w:val="20"/>
          <w:szCs w:val="20"/>
        </w:rPr>
      </w:pPr>
    </w:p>
    <w:p w:rsidR="00AD10D2" w:rsidRDefault="00AD10D2" w:rsidP="00AD10D2">
      <w:pPr>
        <w:ind w:left="-180"/>
        <w:jc w:val="both"/>
        <w:rPr>
          <w:sz w:val="20"/>
          <w:szCs w:val="20"/>
        </w:rPr>
      </w:pPr>
      <w:r w:rsidRPr="00C70EB3">
        <w:rPr>
          <w:sz w:val="20"/>
          <w:szCs w:val="20"/>
        </w:rPr>
        <w:lastRenderedPageBreak/>
        <w:t xml:space="preserve">   </w:t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  <w:t>-naknade građanima</w:t>
      </w:r>
      <w:r>
        <w:rPr>
          <w:sz w:val="20"/>
          <w:szCs w:val="20"/>
        </w:rPr>
        <w:t xml:space="preserve"> i kućanstvima  iznose 95.675,34</w:t>
      </w:r>
      <w:r w:rsidRPr="00C70EB3">
        <w:rPr>
          <w:sz w:val="20"/>
          <w:szCs w:val="20"/>
        </w:rPr>
        <w:t xml:space="preserve"> kn</w:t>
      </w:r>
      <w:r w:rsidRPr="00B02410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C70EB3">
        <w:rPr>
          <w:sz w:val="20"/>
          <w:szCs w:val="20"/>
        </w:rPr>
        <w:t>dnose se na</w:t>
      </w:r>
      <w:r>
        <w:rPr>
          <w:sz w:val="20"/>
          <w:szCs w:val="20"/>
        </w:rPr>
        <w:t xml:space="preserve"> financijska sredstva za plaćanje režijskih troškova za socijalno ugrožene osobe, naknade za novorođeno dijete, jednokratne naknade, </w:t>
      </w:r>
      <w:r w:rsidRPr="00C70EB3">
        <w:rPr>
          <w:sz w:val="20"/>
          <w:szCs w:val="20"/>
        </w:rPr>
        <w:t>sufinanciranje mj</w:t>
      </w:r>
      <w:r>
        <w:rPr>
          <w:sz w:val="20"/>
          <w:szCs w:val="20"/>
        </w:rPr>
        <w:t>esečne  karte srednjoškolcima, naknada za sufinanciranje udžbenika učenicima OŠ, naknade za ogrjev, kupovinu božićnih paketića za predškolsku i školsku djecu. Manje su u odnosu na isto razdoblje prošle godine za 7,1 % .</w:t>
      </w:r>
    </w:p>
    <w:p w:rsidR="00AD10D2" w:rsidRPr="00C70EB3" w:rsidRDefault="00AD10D2" w:rsidP="00AD10D2">
      <w:pPr>
        <w:ind w:left="-180"/>
        <w:jc w:val="both"/>
        <w:rPr>
          <w:sz w:val="20"/>
          <w:szCs w:val="20"/>
        </w:rPr>
      </w:pPr>
    </w:p>
    <w:p w:rsidR="00AD10D2" w:rsidRPr="00DE5EF5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o</w:t>
      </w:r>
      <w:r w:rsidRPr="00DE5EF5">
        <w:rPr>
          <w:sz w:val="20"/>
          <w:szCs w:val="20"/>
        </w:rPr>
        <w:t>stali rashodi -   tekuće</w:t>
      </w:r>
      <w:r>
        <w:rPr>
          <w:sz w:val="20"/>
          <w:szCs w:val="20"/>
        </w:rPr>
        <w:t xml:space="preserve"> donacije u iznosu od 405.610,99 kn odnose </w:t>
      </w:r>
      <w:r w:rsidRPr="00DE5EF5">
        <w:rPr>
          <w:sz w:val="20"/>
          <w:szCs w:val="20"/>
        </w:rPr>
        <w:t>na: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- prijenos sre</w:t>
      </w:r>
      <w:r>
        <w:rPr>
          <w:sz w:val="20"/>
          <w:szCs w:val="20"/>
        </w:rPr>
        <w:t>dstava za kulturu u iznosu od 35.151,34</w:t>
      </w:r>
      <w:r w:rsidRPr="00674981">
        <w:rPr>
          <w:sz w:val="20"/>
          <w:szCs w:val="20"/>
        </w:rPr>
        <w:t xml:space="preserve"> kn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- prijenos z</w:t>
      </w:r>
      <w:r>
        <w:rPr>
          <w:sz w:val="20"/>
          <w:szCs w:val="20"/>
        </w:rPr>
        <w:t>a rad bibliobusa u iznosu od 10.0</w:t>
      </w:r>
      <w:r w:rsidRPr="00674981">
        <w:rPr>
          <w:sz w:val="20"/>
          <w:szCs w:val="20"/>
        </w:rPr>
        <w:t>00.00,00 kn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- prijenos sredstava za sport u iznosu od 4</w:t>
      </w:r>
      <w:r>
        <w:rPr>
          <w:sz w:val="20"/>
          <w:szCs w:val="20"/>
        </w:rPr>
        <w:t>3</w:t>
      </w:r>
      <w:r w:rsidRPr="00674981">
        <w:rPr>
          <w:sz w:val="20"/>
          <w:szCs w:val="20"/>
        </w:rPr>
        <w:t xml:space="preserve">.000,00kn 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 xml:space="preserve">- prijenos sredstava </w:t>
      </w:r>
      <w:r>
        <w:rPr>
          <w:sz w:val="20"/>
          <w:szCs w:val="20"/>
        </w:rPr>
        <w:t>ostalim udrugama u iznos od 18.0</w:t>
      </w:r>
      <w:r w:rsidRPr="00674981">
        <w:rPr>
          <w:sz w:val="20"/>
          <w:szCs w:val="20"/>
        </w:rPr>
        <w:t>00,00 kn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 xml:space="preserve">- prijenos sredstava TNTL-u </w:t>
      </w:r>
      <w:proofErr w:type="spellStart"/>
      <w:r w:rsidRPr="00674981">
        <w:rPr>
          <w:sz w:val="20"/>
          <w:szCs w:val="20"/>
        </w:rPr>
        <w:t>u</w:t>
      </w:r>
      <w:proofErr w:type="spellEnd"/>
      <w:r w:rsidRPr="00674981">
        <w:rPr>
          <w:sz w:val="20"/>
          <w:szCs w:val="20"/>
        </w:rPr>
        <w:t xml:space="preserve"> iznosu od 25.000,00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prijenos udruzi Glas potrošača u iznosu od 3.150,00 kn </w:t>
      </w:r>
    </w:p>
    <w:p w:rsidR="00AD10D2" w:rsidRPr="00DE5EF5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vjerskim zajednicama u iznosu od 15.000,00 kn</w:t>
      </w:r>
    </w:p>
    <w:p w:rsidR="00AD10D2" w:rsidRPr="00DE5EF5" w:rsidRDefault="00AD10D2" w:rsidP="00AD10D2">
      <w:pPr>
        <w:ind w:firstLine="708"/>
        <w:jc w:val="both"/>
        <w:rPr>
          <w:sz w:val="20"/>
          <w:szCs w:val="20"/>
        </w:rPr>
      </w:pPr>
      <w:r w:rsidRPr="00DE5EF5">
        <w:rPr>
          <w:sz w:val="20"/>
          <w:szCs w:val="20"/>
        </w:rPr>
        <w:t>- prijenos sre</w:t>
      </w:r>
      <w:r>
        <w:rPr>
          <w:sz w:val="20"/>
          <w:szCs w:val="20"/>
        </w:rPr>
        <w:t>dstava LAG SRIJEM u iznosu od 15</w:t>
      </w:r>
      <w:r w:rsidRPr="00DE5EF5">
        <w:rPr>
          <w:sz w:val="20"/>
          <w:szCs w:val="20"/>
        </w:rPr>
        <w:t>.000,00 kn</w:t>
      </w:r>
    </w:p>
    <w:p w:rsidR="00AD10D2" w:rsidRPr="00DE5EF5" w:rsidRDefault="00AD10D2" w:rsidP="00AD10D2">
      <w:pPr>
        <w:ind w:firstLine="708"/>
        <w:jc w:val="both"/>
        <w:rPr>
          <w:sz w:val="20"/>
          <w:szCs w:val="20"/>
        </w:rPr>
      </w:pPr>
      <w:r w:rsidRPr="00DE5EF5">
        <w:rPr>
          <w:sz w:val="20"/>
          <w:szCs w:val="20"/>
        </w:rPr>
        <w:t>- prijenos sr</w:t>
      </w:r>
      <w:r>
        <w:rPr>
          <w:sz w:val="20"/>
          <w:szCs w:val="20"/>
        </w:rPr>
        <w:t xml:space="preserve">edstava za održavanje  igraonice  u iznosu od 14.200,00 </w:t>
      </w:r>
      <w:r w:rsidRPr="00DE5EF5">
        <w:rPr>
          <w:sz w:val="20"/>
          <w:szCs w:val="20"/>
        </w:rPr>
        <w:t>kn</w:t>
      </w:r>
    </w:p>
    <w:p w:rsidR="00AD10D2" w:rsidRPr="00DE5EF5" w:rsidRDefault="00AD10D2" w:rsidP="00AD10D2">
      <w:pPr>
        <w:ind w:left="708"/>
        <w:jc w:val="both"/>
        <w:rPr>
          <w:sz w:val="20"/>
          <w:szCs w:val="20"/>
        </w:rPr>
      </w:pPr>
      <w:r w:rsidRPr="00DE5EF5">
        <w:rPr>
          <w:sz w:val="20"/>
          <w:szCs w:val="20"/>
        </w:rPr>
        <w:t xml:space="preserve">- prijenos sredstava OŠ </w:t>
      </w:r>
      <w:proofErr w:type="spellStart"/>
      <w:r w:rsidRPr="00DE5EF5">
        <w:rPr>
          <w:sz w:val="20"/>
          <w:szCs w:val="20"/>
        </w:rPr>
        <w:t>Čakovci</w:t>
      </w:r>
      <w:proofErr w:type="spellEnd"/>
      <w:r w:rsidRPr="00DE5EF5">
        <w:rPr>
          <w:sz w:val="20"/>
          <w:szCs w:val="20"/>
        </w:rPr>
        <w:t xml:space="preserve"> za</w:t>
      </w:r>
      <w:r>
        <w:rPr>
          <w:sz w:val="20"/>
          <w:szCs w:val="20"/>
        </w:rPr>
        <w:t xml:space="preserve"> održavanje </w:t>
      </w:r>
      <w:proofErr w:type="spellStart"/>
      <w:r>
        <w:rPr>
          <w:sz w:val="20"/>
          <w:szCs w:val="20"/>
        </w:rPr>
        <w:t>predškole</w:t>
      </w:r>
      <w:proofErr w:type="spellEnd"/>
      <w:r>
        <w:rPr>
          <w:sz w:val="20"/>
          <w:szCs w:val="20"/>
        </w:rPr>
        <w:t xml:space="preserve"> (plaća) i</w:t>
      </w:r>
      <w:r w:rsidRPr="00DE5EF5">
        <w:rPr>
          <w:sz w:val="20"/>
          <w:szCs w:val="20"/>
        </w:rPr>
        <w:t xml:space="preserve"> podmirenje režijsk</w:t>
      </w:r>
      <w:r>
        <w:rPr>
          <w:sz w:val="20"/>
          <w:szCs w:val="20"/>
        </w:rPr>
        <w:t>ih troškova u      iznosu od 49.187,72</w:t>
      </w:r>
      <w:r w:rsidRPr="00DE5EF5">
        <w:rPr>
          <w:sz w:val="20"/>
          <w:szCs w:val="20"/>
        </w:rPr>
        <w:t xml:space="preserve">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 w:rsidRPr="00DE5EF5">
        <w:rPr>
          <w:sz w:val="20"/>
          <w:szCs w:val="20"/>
        </w:rPr>
        <w:t>- prijenos sreds</w:t>
      </w:r>
      <w:r>
        <w:rPr>
          <w:sz w:val="20"/>
          <w:szCs w:val="20"/>
        </w:rPr>
        <w:t xml:space="preserve">tava DVD-u </w:t>
      </w:r>
      <w:proofErr w:type="spellStart"/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iznosu od 43.335,06</w:t>
      </w:r>
      <w:r w:rsidRPr="00DE5EF5">
        <w:rPr>
          <w:sz w:val="20"/>
          <w:szCs w:val="20"/>
        </w:rPr>
        <w:t xml:space="preserve"> kn. 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prijenos sredstava HGS-u </w:t>
      </w:r>
      <w:proofErr w:type="spellStart"/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iznosu od 2.000,00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CK u iznosu od 6.066,99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- prijenos sredstava politički</w:t>
      </w:r>
      <w:r>
        <w:rPr>
          <w:sz w:val="20"/>
          <w:szCs w:val="20"/>
        </w:rPr>
        <w:t>m strankama u iznosu od 10.476,88</w:t>
      </w:r>
      <w:r w:rsidRPr="00674981">
        <w:rPr>
          <w:sz w:val="20"/>
          <w:szCs w:val="20"/>
        </w:rPr>
        <w:t xml:space="preserve"> kn.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naknade šteta pravnim i fizičkim osobama u iznosu od 116.043,00 kn</w:t>
      </w: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</w:p>
    <w:p w:rsidR="00AD10D2" w:rsidRPr="00674981" w:rsidRDefault="00AD10D2" w:rsidP="00AD10D2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Rashodi za nabavu nefinancijs</w:t>
      </w:r>
      <w:r>
        <w:rPr>
          <w:sz w:val="20"/>
          <w:szCs w:val="20"/>
        </w:rPr>
        <w:t>ke imovine (AOP 354) u iznosu od 755.770,07</w:t>
      </w:r>
      <w:r w:rsidRPr="00674981">
        <w:rPr>
          <w:sz w:val="20"/>
          <w:szCs w:val="20"/>
        </w:rPr>
        <w:t xml:space="preserve"> kn odnose se na izgradnju septičke jame u Domu </w:t>
      </w:r>
      <w:proofErr w:type="spellStart"/>
      <w:r w:rsidRPr="00674981">
        <w:rPr>
          <w:sz w:val="20"/>
          <w:szCs w:val="20"/>
        </w:rPr>
        <w:t>Čakovci</w:t>
      </w:r>
      <w:proofErr w:type="spellEnd"/>
      <w:r w:rsidRPr="00674981">
        <w:rPr>
          <w:sz w:val="20"/>
          <w:szCs w:val="20"/>
        </w:rPr>
        <w:t>, izradu troškovnika za ceste i izradu projektne dokumentacije</w:t>
      </w:r>
      <w:r>
        <w:rPr>
          <w:sz w:val="20"/>
          <w:szCs w:val="20"/>
        </w:rPr>
        <w:t xml:space="preserve">, rekonstrukcija ceste u </w:t>
      </w:r>
      <w:proofErr w:type="spellStart"/>
      <w:r>
        <w:rPr>
          <w:sz w:val="20"/>
          <w:szCs w:val="20"/>
        </w:rPr>
        <w:t>Berku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Mikluševcima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 xml:space="preserve">, rekonstrukcija nogostupa na području općine, izrada projektne dokumentacije za Društvenu zgradu </w:t>
      </w:r>
      <w:proofErr w:type="spellStart"/>
      <w:r>
        <w:rPr>
          <w:sz w:val="20"/>
          <w:szCs w:val="20"/>
        </w:rPr>
        <w:t>Mikluševci</w:t>
      </w:r>
      <w:proofErr w:type="spellEnd"/>
      <w:r>
        <w:rPr>
          <w:sz w:val="20"/>
          <w:szCs w:val="20"/>
        </w:rPr>
        <w:t xml:space="preserve">, izrada projektne dokumentacije racionalne uporabe energije i toplinske zaštite Općinske zgrade, Doma kulture </w:t>
      </w:r>
      <w:proofErr w:type="spellStart"/>
      <w:r>
        <w:rPr>
          <w:sz w:val="20"/>
          <w:szCs w:val="20"/>
        </w:rPr>
        <w:t>Čakovci</w:t>
      </w:r>
      <w:proofErr w:type="spellEnd"/>
      <w:r>
        <w:rPr>
          <w:sz w:val="20"/>
          <w:szCs w:val="20"/>
        </w:rPr>
        <w:t xml:space="preserve">, Dom </w:t>
      </w:r>
      <w:proofErr w:type="spellStart"/>
      <w:r>
        <w:rPr>
          <w:sz w:val="20"/>
          <w:szCs w:val="20"/>
        </w:rPr>
        <w:t>kultur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Bokšić</w:t>
      </w:r>
      <w:proofErr w:type="spellEnd"/>
      <w:r>
        <w:rPr>
          <w:sz w:val="20"/>
          <w:szCs w:val="20"/>
        </w:rPr>
        <w:t xml:space="preserve">, oprema za sve mrtvačnice ( 5 </w:t>
      </w:r>
      <w:proofErr w:type="spellStart"/>
      <w:r>
        <w:rPr>
          <w:sz w:val="20"/>
          <w:szCs w:val="20"/>
        </w:rPr>
        <w:t>odrova</w:t>
      </w:r>
      <w:proofErr w:type="spellEnd"/>
      <w:r>
        <w:rPr>
          <w:sz w:val="20"/>
          <w:szCs w:val="20"/>
        </w:rPr>
        <w:t xml:space="preserve"> i  72 stolice)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Obračunati prihodi  –nenaplaćeni iznose 2.483.392,00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Obveze iznose 317.268,65 kn</w:t>
      </w:r>
    </w:p>
    <w:p w:rsidR="00AD10D2" w:rsidRDefault="00AD10D2" w:rsidP="00AD10D2">
      <w:pPr>
        <w:ind w:firstLine="708"/>
        <w:jc w:val="both"/>
        <w:rPr>
          <w:sz w:val="20"/>
          <w:szCs w:val="20"/>
        </w:rPr>
      </w:pPr>
    </w:p>
    <w:p w:rsidR="00AD10D2" w:rsidRPr="00C70EB3" w:rsidRDefault="00AD10D2" w:rsidP="00AD10D2">
      <w:pPr>
        <w:ind w:firstLine="708"/>
        <w:jc w:val="both"/>
        <w:rPr>
          <w:sz w:val="20"/>
          <w:szCs w:val="20"/>
        </w:rPr>
      </w:pPr>
    </w:p>
    <w:p w:rsidR="00AD10D2" w:rsidRPr="00C902EB" w:rsidRDefault="00AD10D2" w:rsidP="00AD10D2">
      <w:pPr>
        <w:pStyle w:val="Tijeloteksta3"/>
        <w:jc w:val="both"/>
        <w:rPr>
          <w:sz w:val="20"/>
          <w:szCs w:val="20"/>
        </w:rPr>
      </w:pPr>
      <w:r w:rsidRPr="00C902EB">
        <w:rPr>
          <w:sz w:val="20"/>
          <w:szCs w:val="20"/>
        </w:rPr>
        <w:t>Ukupni višak prihoda raspoloživ u</w:t>
      </w:r>
      <w:r>
        <w:rPr>
          <w:sz w:val="20"/>
          <w:szCs w:val="20"/>
        </w:rPr>
        <w:t xml:space="preserve"> slijedećem razdoblju  ( AOP 635) iznosi 3.723.843,50 </w:t>
      </w:r>
      <w:r w:rsidRPr="00C902EB">
        <w:rPr>
          <w:sz w:val="20"/>
          <w:szCs w:val="20"/>
        </w:rPr>
        <w:t>kn.</w:t>
      </w:r>
    </w:p>
    <w:p w:rsidR="00AD10D2" w:rsidRPr="00C902EB" w:rsidRDefault="00AD10D2" w:rsidP="00AD10D2">
      <w:pPr>
        <w:ind w:firstLine="708"/>
        <w:jc w:val="both"/>
        <w:rPr>
          <w:sz w:val="20"/>
          <w:szCs w:val="20"/>
        </w:rPr>
      </w:pPr>
    </w:p>
    <w:p w:rsidR="00AD10D2" w:rsidRPr="007B3E87" w:rsidRDefault="00AD10D2" w:rsidP="00AD10D2">
      <w:pPr>
        <w:pStyle w:val="Tijeloteksta3"/>
        <w:jc w:val="both"/>
        <w:rPr>
          <w:color w:val="FF0000"/>
          <w:sz w:val="20"/>
          <w:szCs w:val="20"/>
        </w:rPr>
      </w:pPr>
    </w:p>
    <w:p w:rsidR="00AD10D2" w:rsidRPr="00C70EB3" w:rsidRDefault="00AD10D2" w:rsidP="00AD10D2">
      <w:pPr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Bilješku sastavila                                                    </w:t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</w:r>
    </w:p>
    <w:p w:rsidR="00AD10D2" w:rsidRPr="00C70EB3" w:rsidRDefault="00AD10D2" w:rsidP="00AD10D2">
      <w:pPr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Marija Filipović                                                                         </w:t>
      </w:r>
    </w:p>
    <w:p w:rsidR="00AD10D2" w:rsidRPr="00C70EB3" w:rsidRDefault="00AD10D2" w:rsidP="00AD10D2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Općinski načelnik</w:t>
      </w:r>
    </w:p>
    <w:p w:rsidR="00AD10D2" w:rsidRDefault="00AD10D2" w:rsidP="00AD10D2">
      <w:pPr>
        <w:ind w:left="5664"/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           Zdravko </w:t>
      </w:r>
      <w:proofErr w:type="spellStart"/>
      <w:r w:rsidRPr="00C70EB3">
        <w:rPr>
          <w:sz w:val="20"/>
          <w:szCs w:val="20"/>
        </w:rPr>
        <w:t>Zvonarić</w:t>
      </w:r>
      <w:proofErr w:type="spellEnd"/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ind w:left="5664"/>
        <w:jc w:val="both"/>
        <w:rPr>
          <w:sz w:val="20"/>
          <w:szCs w:val="20"/>
        </w:rPr>
      </w:pPr>
    </w:p>
    <w:p w:rsidR="00AD10D2" w:rsidRDefault="00AD10D2" w:rsidP="00AD10D2">
      <w:pPr>
        <w:pStyle w:val="Tijeloteksta"/>
        <w:jc w:val="center"/>
        <w:rPr>
          <w:b w:val="0"/>
          <w:bCs w:val="0"/>
          <w:sz w:val="20"/>
          <w:szCs w:val="20"/>
        </w:rPr>
      </w:pPr>
    </w:p>
    <w:p w:rsidR="00AD10D2" w:rsidRPr="006C3635" w:rsidRDefault="00AD10D2" w:rsidP="00AD10D2">
      <w:pPr>
        <w:pStyle w:val="Tijeloteksta"/>
        <w:jc w:val="center"/>
        <w:rPr>
          <w:sz w:val="20"/>
          <w:szCs w:val="20"/>
        </w:rPr>
      </w:pPr>
      <w:r w:rsidRPr="006C3635">
        <w:rPr>
          <w:sz w:val="20"/>
          <w:szCs w:val="20"/>
        </w:rPr>
        <w:lastRenderedPageBreak/>
        <w:t>BILJEŠKA  UZ  BILANCU  ( OBRAZAC BIL )</w:t>
      </w:r>
    </w:p>
    <w:p w:rsidR="00AD10D2" w:rsidRPr="006C3635" w:rsidRDefault="00AD10D2" w:rsidP="00AD10D2">
      <w:pPr>
        <w:ind w:left="1416"/>
        <w:rPr>
          <w:sz w:val="20"/>
          <w:szCs w:val="20"/>
        </w:rPr>
      </w:pPr>
      <w:r w:rsidRPr="006C3635">
        <w:rPr>
          <w:sz w:val="20"/>
          <w:szCs w:val="20"/>
        </w:rPr>
        <w:t xml:space="preserve">                   Za  razdoblje siječanj –  prosinac  2017. godine</w:t>
      </w:r>
    </w:p>
    <w:p w:rsidR="00AD10D2" w:rsidRPr="006C3635" w:rsidRDefault="00AD10D2" w:rsidP="00AD10D2">
      <w:pPr>
        <w:tabs>
          <w:tab w:val="left" w:pos="2520"/>
        </w:tabs>
        <w:jc w:val="center"/>
        <w:rPr>
          <w:sz w:val="20"/>
          <w:szCs w:val="20"/>
        </w:rPr>
      </w:pPr>
    </w:p>
    <w:p w:rsidR="00AD10D2" w:rsidRPr="006C3635" w:rsidRDefault="00AD10D2" w:rsidP="00AD10D2">
      <w:pPr>
        <w:jc w:val="both"/>
        <w:rPr>
          <w:sz w:val="20"/>
          <w:szCs w:val="20"/>
        </w:rPr>
      </w:pPr>
      <w:r w:rsidRPr="006C3635">
        <w:rPr>
          <w:sz w:val="20"/>
          <w:szCs w:val="20"/>
        </w:rPr>
        <w:t>1. Ukupna vrijednost  imovine  (AOP 001 )  promijenila se  na dan 31. prosinca 2017. godine  u odnosu na stanje 01.siječnja 2017. godine,</w:t>
      </w:r>
    </w:p>
    <w:p w:rsidR="00AD10D2" w:rsidRDefault="00AD10D2" w:rsidP="00AD10D2">
      <w:pPr>
        <w:jc w:val="both"/>
        <w:rPr>
          <w:sz w:val="20"/>
          <w:szCs w:val="20"/>
        </w:rPr>
      </w:pPr>
      <w:r w:rsidRPr="006C3635">
        <w:rPr>
          <w:sz w:val="20"/>
          <w:szCs w:val="20"/>
        </w:rPr>
        <w:t>2. Za ispravak vrijednosti korištene su stope propisane Pravilnikom o proračunskom računovodstvu i računskom planu (NN  br.114/10, 31/11,124/14, 115/15</w:t>
      </w:r>
      <w:r>
        <w:rPr>
          <w:sz w:val="20"/>
          <w:szCs w:val="20"/>
        </w:rPr>
        <w:t>, 87/16 i 3/18</w:t>
      </w:r>
      <w:r w:rsidRPr="006C3635">
        <w:rPr>
          <w:sz w:val="20"/>
          <w:szCs w:val="20"/>
        </w:rPr>
        <w:t>).</w:t>
      </w: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 Iskazana odstupanja u odnosu na stanje 01.siječnja navedena su na slijedećim pozicijama: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Pr="006C3635" w:rsidRDefault="00AD10D2" w:rsidP="00AD10D2">
      <w:pPr>
        <w:pStyle w:val="Tijeloteksta2"/>
        <w:ind w:left="360"/>
        <w:rPr>
          <w:sz w:val="20"/>
          <w:szCs w:val="20"/>
        </w:rPr>
      </w:pP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  <w:t>a)   materijalna imovina (AOP 004)</w:t>
      </w:r>
    </w:p>
    <w:p w:rsidR="00AD10D2" w:rsidRPr="006C3635" w:rsidRDefault="00AD10D2" w:rsidP="00AD10D2">
      <w:pPr>
        <w:pStyle w:val="Tijeloteksta2"/>
        <w:ind w:left="360"/>
        <w:rPr>
          <w:sz w:val="20"/>
          <w:szCs w:val="20"/>
        </w:rPr>
      </w:pP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  <w:t>b)   stambeni objekti (AOP 009)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poslovni objekti (AOP 010 )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ceste, željeznice i ostali prometni objekti (AOP 011)</w:t>
      </w:r>
    </w:p>
    <w:p w:rsidR="00AD10D2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ostali građevinski objekti (AOP 012)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uredska oprema i ostali namještaj (AOP 015)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uređaji, strojevi i oprema za ostale namjene (AOP 021)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višegodišnji nasadi (AOP 03</w:t>
      </w:r>
      <w:r>
        <w:rPr>
          <w:sz w:val="20"/>
          <w:szCs w:val="20"/>
        </w:rPr>
        <w:t>6</w:t>
      </w:r>
      <w:r w:rsidRPr="006C3635">
        <w:rPr>
          <w:sz w:val="20"/>
          <w:szCs w:val="20"/>
        </w:rPr>
        <w:t>))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Ostala nematerijalna imovina (AOP 044)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dionice i udjeli u glavnici (AOP 133)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 xml:space="preserve">potraživanja  za prihode poslovanja (AOP 140) </w:t>
      </w:r>
    </w:p>
    <w:p w:rsidR="00AD10D2" w:rsidRPr="006C3635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potraživanja od prodaje nefinancijske imovine (AOP 157)</w:t>
      </w:r>
    </w:p>
    <w:p w:rsidR="00AD10D2" w:rsidRDefault="00AD10D2" w:rsidP="00AD10D2">
      <w:pPr>
        <w:pStyle w:val="Tijeloteksta2"/>
        <w:numPr>
          <w:ilvl w:val="0"/>
          <w:numId w:val="3"/>
        </w:numPr>
        <w:rPr>
          <w:sz w:val="20"/>
          <w:szCs w:val="20"/>
        </w:rPr>
      </w:pPr>
      <w:r w:rsidRPr="006C3635">
        <w:rPr>
          <w:sz w:val="20"/>
          <w:szCs w:val="20"/>
        </w:rPr>
        <w:t>obveze  za rashode  poslovanja (AOP 163)</w:t>
      </w:r>
    </w:p>
    <w:p w:rsidR="00AD10D2" w:rsidRPr="006C3635" w:rsidRDefault="00AD10D2" w:rsidP="00AD10D2">
      <w:pPr>
        <w:pStyle w:val="Tijeloteksta2"/>
        <w:ind w:left="1776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3.a) Na poziciji materijalna imovina došlo je do povećanja zbog unosa imovine koju je komisija za procjenu imovine evidentirala i izvršila procjenu (poljoprivredno i građevinsko zemljište, igrališta, groblja)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3.b) Stambeni objekti povećanja zbog unosa imovine koju je komisija za procjenu imovine evidentirala i izvršila procjenu.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3.c)  Na poziciji poslovni objekti došlo je do povećanja zbog unosa imovine koju je komisija za procjenu imovine evidentirala i izvršila procjenu građevina.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 xml:space="preserve">3.d) Ceste, željeznice i ostali prometni objekti povećani su zbog rekonstrukcije cesta spoj </w:t>
      </w:r>
      <w:proofErr w:type="spellStart"/>
      <w:r w:rsidRPr="006C3635">
        <w:rPr>
          <w:sz w:val="20"/>
          <w:szCs w:val="20"/>
        </w:rPr>
        <w:t>Čakovačke</w:t>
      </w:r>
      <w:proofErr w:type="spellEnd"/>
      <w:r w:rsidRPr="006C3635">
        <w:rPr>
          <w:sz w:val="20"/>
          <w:szCs w:val="20"/>
        </w:rPr>
        <w:t xml:space="preserve"> i </w:t>
      </w:r>
      <w:proofErr w:type="spellStart"/>
      <w:r w:rsidRPr="006C3635">
        <w:rPr>
          <w:sz w:val="20"/>
          <w:szCs w:val="20"/>
        </w:rPr>
        <w:t>Sotinačke</w:t>
      </w:r>
      <w:proofErr w:type="spellEnd"/>
      <w:r w:rsidRPr="006C3635">
        <w:rPr>
          <w:sz w:val="20"/>
          <w:szCs w:val="20"/>
        </w:rPr>
        <w:t xml:space="preserve"> </w:t>
      </w:r>
      <w:proofErr w:type="spellStart"/>
      <w:r w:rsidRPr="006C3635">
        <w:rPr>
          <w:sz w:val="20"/>
          <w:szCs w:val="20"/>
        </w:rPr>
        <w:t>Berak</w:t>
      </w:r>
      <w:proofErr w:type="spellEnd"/>
      <w:r w:rsidRPr="006C3635">
        <w:rPr>
          <w:sz w:val="20"/>
          <w:szCs w:val="20"/>
        </w:rPr>
        <w:t xml:space="preserve">, spoj Rusinske i S. Hajduka </w:t>
      </w:r>
      <w:proofErr w:type="spellStart"/>
      <w:r w:rsidRPr="006C3635">
        <w:rPr>
          <w:sz w:val="20"/>
          <w:szCs w:val="20"/>
        </w:rPr>
        <w:t>Mikluševci</w:t>
      </w:r>
      <w:proofErr w:type="spellEnd"/>
      <w:r w:rsidRPr="006C3635">
        <w:rPr>
          <w:sz w:val="20"/>
          <w:szCs w:val="20"/>
        </w:rPr>
        <w:t xml:space="preserve">, cesta uz igralište </w:t>
      </w:r>
      <w:proofErr w:type="spellStart"/>
      <w:r w:rsidRPr="006C3635">
        <w:rPr>
          <w:sz w:val="20"/>
          <w:szCs w:val="20"/>
        </w:rPr>
        <w:t>Tompojevci</w:t>
      </w:r>
      <w:proofErr w:type="spellEnd"/>
      <w:r w:rsidRPr="006C3635">
        <w:rPr>
          <w:sz w:val="20"/>
          <w:szCs w:val="20"/>
        </w:rPr>
        <w:t xml:space="preserve"> i unosa imovine ( putovi) koju je komisija za procjenu imovine evidentirala i izvršila procjenu.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3.e</w:t>
      </w:r>
      <w:r>
        <w:rPr>
          <w:sz w:val="20"/>
          <w:szCs w:val="20"/>
        </w:rPr>
        <w:t>) Ostali građevinski</w:t>
      </w:r>
      <w:r w:rsidRPr="006C3635">
        <w:rPr>
          <w:sz w:val="20"/>
          <w:szCs w:val="20"/>
        </w:rPr>
        <w:t xml:space="preserve">  objekti povećani  zbog unosa imovine koju je komisija za procjenu imovine evidentirala i izvršila procjenu građevine (sportska svlačionica </w:t>
      </w:r>
      <w:proofErr w:type="spellStart"/>
      <w:r w:rsidRPr="006C3635">
        <w:rPr>
          <w:sz w:val="20"/>
          <w:szCs w:val="20"/>
        </w:rPr>
        <w:t>Tompojevci</w:t>
      </w:r>
      <w:proofErr w:type="spellEnd"/>
      <w:r w:rsidRPr="006C3635">
        <w:rPr>
          <w:sz w:val="20"/>
          <w:szCs w:val="20"/>
        </w:rPr>
        <w:t>).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3.f) Uređaji, strojevi i oprema za ostale namjene došlo je do smanjenja imovine zbog otpisa dotrajalih strojeva i opreme.</w:t>
      </w:r>
    </w:p>
    <w:p w:rsidR="00AD10D2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 xml:space="preserve">3.g) uredska oprema i namještaj </w:t>
      </w:r>
      <w:r w:rsidRPr="006C3635">
        <w:rPr>
          <w:sz w:val="20"/>
          <w:szCs w:val="20"/>
        </w:rPr>
        <w:t>došlo je do smanjenja imovine zbog otpisa dotrajalih strojeva i opreme.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3.h</w:t>
      </w:r>
      <w:r w:rsidRPr="006C3635">
        <w:rPr>
          <w:sz w:val="20"/>
          <w:szCs w:val="20"/>
        </w:rPr>
        <w:t>) Višegodišnji nasadi  povećani su  zbog unosa imovine koju je komisija za procjenu imovine evidentirala i izvršila procjenu (šume).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3.i</w:t>
      </w:r>
      <w:r w:rsidRPr="006C3635">
        <w:rPr>
          <w:sz w:val="20"/>
          <w:szCs w:val="20"/>
        </w:rPr>
        <w:t xml:space="preserve">) Ostala nematerijalna imovina povećana je zbog </w:t>
      </w:r>
      <w:r>
        <w:rPr>
          <w:sz w:val="20"/>
          <w:szCs w:val="20"/>
        </w:rPr>
        <w:t xml:space="preserve"> </w:t>
      </w:r>
      <w:r w:rsidRPr="006C3635">
        <w:rPr>
          <w:sz w:val="20"/>
          <w:szCs w:val="20"/>
        </w:rPr>
        <w:t xml:space="preserve">izrade  </w:t>
      </w:r>
      <w:r>
        <w:rPr>
          <w:sz w:val="20"/>
          <w:szCs w:val="20"/>
        </w:rPr>
        <w:t xml:space="preserve">projektne </w:t>
      </w:r>
      <w:r w:rsidRPr="006C3635">
        <w:rPr>
          <w:sz w:val="20"/>
          <w:szCs w:val="20"/>
        </w:rPr>
        <w:t xml:space="preserve"> dokumentacije racionalne uporabe energije i toplinske zaštite Općinske zgrade, Doma kulture </w:t>
      </w:r>
      <w:proofErr w:type="spellStart"/>
      <w:r w:rsidRPr="006C3635">
        <w:rPr>
          <w:sz w:val="20"/>
          <w:szCs w:val="20"/>
        </w:rPr>
        <w:t>Čakovci</w:t>
      </w:r>
      <w:proofErr w:type="spellEnd"/>
      <w:r w:rsidRPr="006C3635">
        <w:rPr>
          <w:sz w:val="20"/>
          <w:szCs w:val="20"/>
        </w:rPr>
        <w:t xml:space="preserve">, Dom </w:t>
      </w:r>
      <w:proofErr w:type="spellStart"/>
      <w:r w:rsidRPr="006C3635">
        <w:rPr>
          <w:sz w:val="20"/>
          <w:szCs w:val="20"/>
        </w:rPr>
        <w:t>kultur</w:t>
      </w:r>
      <w:proofErr w:type="spellEnd"/>
      <w:r w:rsidRPr="006C3635">
        <w:rPr>
          <w:sz w:val="20"/>
          <w:szCs w:val="20"/>
        </w:rPr>
        <w:t xml:space="preserve"> </w:t>
      </w:r>
      <w:proofErr w:type="spellStart"/>
      <w:r w:rsidRPr="006C3635">
        <w:rPr>
          <w:sz w:val="20"/>
          <w:szCs w:val="20"/>
        </w:rPr>
        <w:t>Bokšić</w:t>
      </w:r>
      <w:proofErr w:type="spellEnd"/>
      <w:r w:rsidRPr="006C3635">
        <w:rPr>
          <w:sz w:val="20"/>
          <w:szCs w:val="20"/>
        </w:rPr>
        <w:t xml:space="preserve"> i izrada projektne dokumentacije za Društveni dom </w:t>
      </w:r>
      <w:proofErr w:type="spellStart"/>
      <w:r w:rsidRPr="006C3635">
        <w:rPr>
          <w:sz w:val="20"/>
          <w:szCs w:val="20"/>
        </w:rPr>
        <w:t>Mikluševci</w:t>
      </w:r>
      <w:proofErr w:type="spellEnd"/>
      <w:r w:rsidRPr="006C3635">
        <w:rPr>
          <w:sz w:val="20"/>
          <w:szCs w:val="20"/>
        </w:rPr>
        <w:t>.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3.j</w:t>
      </w:r>
      <w:r w:rsidRPr="006C3635">
        <w:rPr>
          <w:sz w:val="20"/>
          <w:szCs w:val="20"/>
        </w:rPr>
        <w:t xml:space="preserve">) Na  AOP-u  133 proknjižen je udio u glavnici trgovačkog društva u javnom sektoru u iznosu od 1.090.700,00 kn ( odnosi se na udio Vodovod grada Vukovara </w:t>
      </w:r>
      <w:proofErr w:type="spellStart"/>
      <w:r w:rsidRPr="006C3635">
        <w:rPr>
          <w:sz w:val="20"/>
          <w:szCs w:val="20"/>
        </w:rPr>
        <w:t>d.d</w:t>
      </w:r>
      <w:proofErr w:type="spellEnd"/>
      <w:r w:rsidRPr="006C3635">
        <w:rPr>
          <w:sz w:val="20"/>
          <w:szCs w:val="20"/>
        </w:rPr>
        <w:t xml:space="preserve"> ) 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</w:p>
    <w:p w:rsidR="00AD10D2" w:rsidRPr="006C3635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3.k</w:t>
      </w:r>
      <w:r w:rsidRPr="006C3635">
        <w:rPr>
          <w:sz w:val="20"/>
          <w:szCs w:val="20"/>
        </w:rPr>
        <w:t>). Potraživanja (AOP 140 ) odnose se na:</w:t>
      </w:r>
    </w:p>
    <w:p w:rsidR="00AD10D2" w:rsidRPr="006C3635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C3635">
        <w:rPr>
          <w:sz w:val="20"/>
          <w:szCs w:val="20"/>
        </w:rPr>
        <w:t>-   potraživanja za poreze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6C3635">
        <w:rPr>
          <w:sz w:val="20"/>
          <w:szCs w:val="20"/>
        </w:rPr>
        <w:t>125.608,00 kn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C3635">
        <w:rPr>
          <w:sz w:val="20"/>
          <w:szCs w:val="20"/>
        </w:rPr>
        <w:t>-   potraživanje za prihode o</w:t>
      </w:r>
      <w:r>
        <w:rPr>
          <w:sz w:val="20"/>
          <w:szCs w:val="20"/>
        </w:rPr>
        <w:t>d imovine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3635">
        <w:rPr>
          <w:sz w:val="20"/>
          <w:szCs w:val="20"/>
        </w:rPr>
        <w:t xml:space="preserve"> 212.785,00 kn</w:t>
      </w:r>
    </w:p>
    <w:p w:rsidR="00AD10D2" w:rsidRDefault="00AD10D2" w:rsidP="00AD10D2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3635">
        <w:rPr>
          <w:sz w:val="20"/>
          <w:szCs w:val="20"/>
        </w:rPr>
        <w:t xml:space="preserve"> -   potraživanja za upravne i administrativne prist</w:t>
      </w:r>
      <w:r>
        <w:rPr>
          <w:sz w:val="20"/>
          <w:szCs w:val="20"/>
        </w:rPr>
        <w:t xml:space="preserve">ojbe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3635">
        <w:rPr>
          <w:sz w:val="20"/>
          <w:szCs w:val="20"/>
        </w:rPr>
        <w:t xml:space="preserve"> 198.273,00 kn</w:t>
      </w:r>
    </w:p>
    <w:p w:rsidR="00AD10D2" w:rsidRDefault="00AD10D2" w:rsidP="00AD10D2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3635">
        <w:rPr>
          <w:sz w:val="20"/>
          <w:szCs w:val="20"/>
        </w:rPr>
        <w:t xml:space="preserve"> -   potraživanja za kazne i upravne mjere, te ost</w:t>
      </w:r>
      <w:r>
        <w:rPr>
          <w:sz w:val="20"/>
          <w:szCs w:val="20"/>
        </w:rPr>
        <w:t xml:space="preserve">ale prihode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6C3635">
        <w:rPr>
          <w:sz w:val="20"/>
          <w:szCs w:val="20"/>
        </w:rPr>
        <w:t xml:space="preserve"> 94.597,00 kn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Default="00AD10D2" w:rsidP="00AD10D2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3.l</w:t>
      </w:r>
      <w:r w:rsidRPr="006C3635">
        <w:rPr>
          <w:sz w:val="20"/>
          <w:szCs w:val="20"/>
        </w:rPr>
        <w:t>) Potraživanja (AOP 157) odnose se na prodaju poljoprivrednog zemljišta u vlasništvu RH ( rok otplate dvadeset godina) u iznosu od 1.852.129,00 kn.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Pr="006C3635" w:rsidRDefault="00AD10D2" w:rsidP="00AD10D2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 m</w:t>
      </w:r>
      <w:r w:rsidRPr="006C3635">
        <w:rPr>
          <w:sz w:val="20"/>
          <w:szCs w:val="20"/>
        </w:rPr>
        <w:t>). Obveze  (AOP 163 )  odnose se na:</w:t>
      </w:r>
    </w:p>
    <w:p w:rsidR="00AD10D2" w:rsidRPr="006C3635" w:rsidRDefault="00AD10D2" w:rsidP="00AD10D2">
      <w:pPr>
        <w:pStyle w:val="Tijeloteksta2"/>
        <w:ind w:firstLine="360"/>
        <w:rPr>
          <w:sz w:val="20"/>
          <w:szCs w:val="20"/>
        </w:rPr>
      </w:pPr>
      <w:r w:rsidRPr="006C3635">
        <w:rPr>
          <w:sz w:val="20"/>
          <w:szCs w:val="20"/>
        </w:rPr>
        <w:t>- Obveze za zaposlene</w:t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</w:r>
      <w:r w:rsidRPr="006C3635">
        <w:rPr>
          <w:sz w:val="20"/>
          <w:szCs w:val="20"/>
        </w:rPr>
        <w:tab/>
        <w:t xml:space="preserve"> 73.885,00  kn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materijalne rashode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51.864,00  kn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financijske rashode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C3635">
        <w:rPr>
          <w:rFonts w:ascii="Times New Roman" w:hAnsi="Times New Roman"/>
          <w:sz w:val="20"/>
          <w:szCs w:val="20"/>
        </w:rPr>
        <w:t xml:space="preserve">    188,00  kn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 xml:space="preserve">- Obveze za naknade građanima i kućanstvima        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16.388,00  kn  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kazne, naknade šteta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C3635">
        <w:rPr>
          <w:rFonts w:ascii="Times New Roman" w:hAnsi="Times New Roman"/>
          <w:sz w:val="20"/>
          <w:szCs w:val="20"/>
        </w:rPr>
        <w:t xml:space="preserve">  116.043,00 kn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Ostale tekuće obveze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7.589,00  kn</w:t>
      </w:r>
      <w:r w:rsidRPr="006C3635">
        <w:rPr>
          <w:rFonts w:ascii="Times New Roman" w:hAnsi="Times New Roman"/>
          <w:sz w:val="20"/>
          <w:szCs w:val="20"/>
        </w:rPr>
        <w:tab/>
        <w:t xml:space="preserve">  </w:t>
      </w:r>
    </w:p>
    <w:p w:rsidR="00AD10D2" w:rsidRPr="006C3635" w:rsidRDefault="00AD10D2" w:rsidP="00AD10D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nabavku nefinancijske imovine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C3635">
        <w:rPr>
          <w:rFonts w:ascii="Times New Roman" w:hAnsi="Times New Roman"/>
          <w:sz w:val="20"/>
          <w:szCs w:val="20"/>
        </w:rPr>
        <w:t xml:space="preserve"> 51.312,00  kn</w:t>
      </w:r>
    </w:p>
    <w:p w:rsidR="00AD10D2" w:rsidRPr="006C3635" w:rsidRDefault="00AD10D2" w:rsidP="00AD10D2">
      <w:pPr>
        <w:pStyle w:val="Odlomakpopisa"/>
        <w:spacing w:after="0" w:line="240" w:lineRule="auto"/>
        <w:ind w:left="4248" w:hanging="3888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 xml:space="preserve">            </w:t>
      </w:r>
      <w:r w:rsidRPr="006C3635">
        <w:rPr>
          <w:rFonts w:ascii="Times New Roman" w:hAnsi="Times New Roman"/>
          <w:sz w:val="20"/>
          <w:szCs w:val="20"/>
          <w:u w:val="single"/>
        </w:rPr>
        <w:t xml:space="preserve">                       </w:t>
      </w:r>
      <w:r w:rsidRPr="006C3635">
        <w:rPr>
          <w:rFonts w:ascii="Times New Roman" w:hAnsi="Times New Roman"/>
          <w:sz w:val="20"/>
          <w:szCs w:val="20"/>
        </w:rPr>
        <w:t xml:space="preserve">        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  <w:r w:rsidRPr="006C3635">
        <w:rPr>
          <w:color w:val="FF0000"/>
          <w:sz w:val="20"/>
          <w:szCs w:val="20"/>
        </w:rPr>
        <w:t xml:space="preserve"> </w:t>
      </w:r>
      <w:r w:rsidRPr="006C3635">
        <w:rPr>
          <w:sz w:val="20"/>
          <w:szCs w:val="20"/>
        </w:rPr>
        <w:t>Višak prihoda i primitaka raspoloživ u sljedećem razdoblju ( AOP 233) iznosi 3.723.844,00 kn.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  <w:r w:rsidRPr="006C3635">
        <w:rPr>
          <w:sz w:val="20"/>
          <w:szCs w:val="20"/>
        </w:rPr>
        <w:t xml:space="preserve">Općina </w:t>
      </w:r>
      <w:proofErr w:type="spellStart"/>
      <w:r w:rsidRPr="006C3635">
        <w:rPr>
          <w:sz w:val="20"/>
          <w:szCs w:val="20"/>
        </w:rPr>
        <w:t>Tompojevci</w:t>
      </w:r>
      <w:proofErr w:type="spellEnd"/>
      <w:r w:rsidRPr="006C3635">
        <w:rPr>
          <w:sz w:val="20"/>
          <w:szCs w:val="20"/>
        </w:rPr>
        <w:t xml:space="preserve"> u 2017. godini nije imala danih i primljenih zajmova i kredita te dospjelih kamata po kreditima i zajmovima, te Vam ne dostavljamo  tablice propisane Pravilnikom.</w:t>
      </w: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Pr="006C3635" w:rsidRDefault="00AD10D2" w:rsidP="00AD10D2">
      <w:pPr>
        <w:pStyle w:val="Tijeloteksta3"/>
        <w:jc w:val="both"/>
        <w:rPr>
          <w:sz w:val="20"/>
          <w:szCs w:val="20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Pr="006567BB" w:rsidRDefault="00AD10D2" w:rsidP="00AD10D2">
      <w:pPr>
        <w:pStyle w:val="Tijeloteksta3"/>
        <w:jc w:val="both"/>
        <w:rPr>
          <w:sz w:val="22"/>
          <w:szCs w:val="22"/>
        </w:rPr>
      </w:pPr>
    </w:p>
    <w:p w:rsidR="00AD10D2" w:rsidRPr="00A13B78" w:rsidRDefault="00AD10D2" w:rsidP="00AD10D2">
      <w:pPr>
        <w:pStyle w:val="Naslov6"/>
        <w:tabs>
          <w:tab w:val="left" w:pos="720"/>
        </w:tabs>
        <w:rPr>
          <w:sz w:val="24"/>
        </w:rPr>
      </w:pPr>
      <w:r w:rsidRPr="00A13B78">
        <w:rPr>
          <w:sz w:val="24"/>
        </w:rPr>
        <w:lastRenderedPageBreak/>
        <w:t>BILJ</w:t>
      </w:r>
      <w:r>
        <w:rPr>
          <w:sz w:val="24"/>
        </w:rPr>
        <w:t>EŠKA UZ OBRAZAC P-VRIO ZA 2017</w:t>
      </w:r>
      <w:r w:rsidRPr="00A13B78">
        <w:rPr>
          <w:sz w:val="24"/>
        </w:rPr>
        <w:t>. GODINU</w:t>
      </w:r>
    </w:p>
    <w:p w:rsidR="00AD10D2" w:rsidRPr="00A13B78" w:rsidRDefault="00AD10D2" w:rsidP="00AD10D2">
      <w:pPr>
        <w:jc w:val="both"/>
      </w:pPr>
    </w:p>
    <w:p w:rsidR="00AD10D2" w:rsidRPr="00A13B78" w:rsidRDefault="00AD10D2" w:rsidP="00AD10D2">
      <w:pPr>
        <w:jc w:val="both"/>
      </w:pPr>
    </w:p>
    <w:p w:rsidR="00AD10D2" w:rsidRPr="00A13B78" w:rsidRDefault="00AD10D2" w:rsidP="00AD10D2">
      <w:pPr>
        <w:pStyle w:val="Tijeloteksta2"/>
        <w:rPr>
          <w:sz w:val="24"/>
        </w:rPr>
      </w:pPr>
      <w:r w:rsidRPr="00A13B78">
        <w:rPr>
          <w:sz w:val="24"/>
        </w:rPr>
        <w:t>Promjene u vrijednosti i obujmu imovine i obveze za 2</w:t>
      </w:r>
      <w:r>
        <w:rPr>
          <w:sz w:val="24"/>
        </w:rPr>
        <w:t xml:space="preserve">017 godinu odnose se na povećanje obujma </w:t>
      </w:r>
      <w:r w:rsidRPr="00A13B78">
        <w:rPr>
          <w:sz w:val="24"/>
        </w:rPr>
        <w:t>imovine:</w:t>
      </w:r>
    </w:p>
    <w:p w:rsidR="00AD10D2" w:rsidRDefault="00AD10D2" w:rsidP="00AD10D2">
      <w:pPr>
        <w:pStyle w:val="Tijeloteksta2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4"/>
        </w:rPr>
        <w:t>neproizvedena</w:t>
      </w:r>
      <w:proofErr w:type="spellEnd"/>
      <w:r>
        <w:rPr>
          <w:sz w:val="24"/>
        </w:rPr>
        <w:t xml:space="preserve"> dugotrajna imovina povećala se u iznosu od 733,144,00 kn </w:t>
      </w:r>
      <w:r w:rsidRPr="005311ED">
        <w:rPr>
          <w:sz w:val="24"/>
        </w:rPr>
        <w:t xml:space="preserve">zbog </w:t>
      </w:r>
      <w:r>
        <w:rPr>
          <w:sz w:val="22"/>
          <w:szCs w:val="22"/>
        </w:rPr>
        <w:t>unosa imovine koju je komisija za procjenu imovine evidentirala i izvršila procjenu ( poljoprivredno i građevinsko zemljište, igrališta, groblja)</w:t>
      </w:r>
    </w:p>
    <w:p w:rsidR="00AD10D2" w:rsidRDefault="00AD10D2" w:rsidP="00AD10D2">
      <w:pPr>
        <w:pStyle w:val="Tijeloteksta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Proizvedena dugotrajna imovina povećala se u iznosu od 2.402.194,00 kn zbog unosa imovine koju je komisija za procjenu imovine evidentirala i izvršila procjenu (putovi,stambeni, poslovni objekti i ostale </w:t>
      </w:r>
      <w:proofErr w:type="spellStart"/>
      <w:r>
        <w:rPr>
          <w:sz w:val="22"/>
          <w:szCs w:val="22"/>
        </w:rPr>
        <w:t>geađevine</w:t>
      </w:r>
      <w:proofErr w:type="spellEnd"/>
      <w:r>
        <w:rPr>
          <w:sz w:val="22"/>
          <w:szCs w:val="22"/>
        </w:rPr>
        <w:t>).</w:t>
      </w:r>
    </w:p>
    <w:p w:rsidR="00AD10D2" w:rsidRDefault="00AD10D2" w:rsidP="00AD10D2">
      <w:pPr>
        <w:pStyle w:val="Tijeloteksta2"/>
        <w:rPr>
          <w:sz w:val="24"/>
        </w:rPr>
      </w:pPr>
      <w:r>
        <w:rPr>
          <w:sz w:val="24"/>
        </w:rPr>
        <w:t xml:space="preserve">  Do smanjenja obujma imovine došlo je zbog isknjižavanja projektne dokumentacije zbog isteka    građevinske dozvole u iznosu od 96.902,00 kn</w:t>
      </w:r>
    </w:p>
    <w:p w:rsidR="00AD10D2" w:rsidRDefault="00AD10D2" w:rsidP="00AD10D2">
      <w:pPr>
        <w:pStyle w:val="Naslov6"/>
        <w:tabs>
          <w:tab w:val="left" w:pos="720"/>
        </w:tabs>
        <w:rPr>
          <w:sz w:val="24"/>
        </w:rPr>
      </w:pPr>
    </w:p>
    <w:p w:rsidR="00927AFB" w:rsidRDefault="00927AFB">
      <w:bookmarkStart w:id="0" w:name="_GoBack"/>
      <w:bookmarkEnd w:id="0"/>
    </w:p>
    <w:sectPr w:rsidR="0092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546"/>
    <w:multiLevelType w:val="hybridMultilevel"/>
    <w:tmpl w:val="A2225EF0"/>
    <w:lvl w:ilvl="0" w:tplc="DE305A82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A94622C"/>
    <w:multiLevelType w:val="hybridMultilevel"/>
    <w:tmpl w:val="5512EFBA"/>
    <w:lvl w:ilvl="0" w:tplc="E9AACFB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B5"/>
    <w:rsid w:val="00927AFB"/>
    <w:rsid w:val="00AD10D2"/>
    <w:rsid w:val="00F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AD10D2"/>
    <w:pPr>
      <w:keepNext/>
      <w:jc w:val="center"/>
      <w:outlineLvl w:val="5"/>
    </w:pPr>
    <w:rPr>
      <w:sz w:val="28"/>
    </w:rPr>
  </w:style>
  <w:style w:type="paragraph" w:styleId="Naslov8">
    <w:name w:val="heading 8"/>
    <w:basedOn w:val="Normal"/>
    <w:next w:val="Normal"/>
    <w:link w:val="Naslov8Char"/>
    <w:qFormat/>
    <w:rsid w:val="00AD10D2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AD10D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D10D2"/>
    <w:pPr>
      <w:jc w:val="both"/>
    </w:pPr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AD10D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AD10D2"/>
    <w:pPr>
      <w:jc w:val="both"/>
    </w:pPr>
    <w:rPr>
      <w:sz w:val="28"/>
    </w:rPr>
  </w:style>
  <w:style w:type="character" w:customStyle="1" w:styleId="Tijeloteksta2Char">
    <w:name w:val="Tijelo teksta 2 Char"/>
    <w:basedOn w:val="Zadanifontodlomka"/>
    <w:link w:val="Tijeloteksta2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AD10D2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D1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AD10D2"/>
    <w:pPr>
      <w:keepNext/>
      <w:jc w:val="center"/>
      <w:outlineLvl w:val="5"/>
    </w:pPr>
    <w:rPr>
      <w:sz w:val="28"/>
    </w:rPr>
  </w:style>
  <w:style w:type="paragraph" w:styleId="Naslov8">
    <w:name w:val="heading 8"/>
    <w:basedOn w:val="Normal"/>
    <w:next w:val="Normal"/>
    <w:link w:val="Naslov8Char"/>
    <w:qFormat/>
    <w:rsid w:val="00AD10D2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AD10D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D10D2"/>
    <w:pPr>
      <w:jc w:val="both"/>
    </w:pPr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AD10D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AD10D2"/>
    <w:pPr>
      <w:jc w:val="both"/>
    </w:pPr>
    <w:rPr>
      <w:sz w:val="28"/>
    </w:rPr>
  </w:style>
  <w:style w:type="character" w:customStyle="1" w:styleId="Tijeloteksta2Char">
    <w:name w:val="Tijelo teksta 2 Char"/>
    <w:basedOn w:val="Zadanifontodlomka"/>
    <w:link w:val="Tijeloteksta2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AD10D2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AD10D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D1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Marija Filipovic</cp:lastModifiedBy>
  <cp:revision>2</cp:revision>
  <dcterms:created xsi:type="dcterms:W3CDTF">2018-02-15T07:19:00Z</dcterms:created>
  <dcterms:modified xsi:type="dcterms:W3CDTF">2018-02-15T07:20:00Z</dcterms:modified>
</cp:coreProperties>
</file>